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E9" w:rsidRPr="00AD4333" w:rsidRDefault="00A000E9" w:rsidP="002C3289">
      <w:pPr>
        <w:pBdr>
          <w:top w:val="single" w:sz="4" w:space="1" w:color="auto"/>
          <w:left w:val="single" w:sz="4" w:space="4" w:color="auto"/>
          <w:bottom w:val="single" w:sz="4" w:space="6" w:color="auto"/>
          <w:right w:val="single" w:sz="4" w:space="4" w:color="auto"/>
        </w:pBdr>
        <w:shd w:val="pct20" w:color="auto" w:fill="auto"/>
        <w:rPr>
          <w:sz w:val="10"/>
          <w:szCs w:val="10"/>
        </w:rPr>
      </w:pPr>
    </w:p>
    <w:p w:rsidR="005B384D" w:rsidRDefault="00115768" w:rsidP="002C3289">
      <w:pPr>
        <w:pStyle w:val="Beschlussvorlagenkopf"/>
        <w:pBdr>
          <w:bottom w:val="single" w:sz="4" w:space="6" w:color="auto"/>
        </w:pBdr>
      </w:pPr>
      <w:r>
        <w:t>93</w:t>
      </w:r>
      <w:r w:rsidR="003A5917">
        <w:t>. Gesundheitsministerkonferenz</w:t>
      </w:r>
    </w:p>
    <w:p w:rsidR="00241B5F" w:rsidRPr="00731B38" w:rsidRDefault="00241B5F" w:rsidP="002C3289">
      <w:pPr>
        <w:pStyle w:val="Beschlussvorlagenkopf"/>
        <w:pBdr>
          <w:bottom w:val="single" w:sz="4" w:space="6" w:color="auto"/>
        </w:pBdr>
      </w:pPr>
      <w:r>
        <w:t>15. November 2020</w:t>
      </w:r>
    </w:p>
    <w:p w:rsidR="000555D1" w:rsidRPr="00241B5F" w:rsidRDefault="00241B5F" w:rsidP="00241B5F">
      <w:pPr>
        <w:pStyle w:val="Beschlussvorlagenkopf"/>
        <w:pBdr>
          <w:bottom w:val="single" w:sz="4" w:space="6" w:color="auto"/>
        </w:pBdr>
      </w:pPr>
      <w:r>
        <w:t>Gemeinsames Positionspapier</w:t>
      </w:r>
      <w:r w:rsidR="000555D1">
        <w:t xml:space="preserve"> der</w:t>
      </w:r>
      <w:r>
        <w:t xml:space="preserve"> Ministerinnen und Minister, Senatorinnen und Senatoren für Gesundheit der Länder</w:t>
      </w:r>
      <w:r w:rsidR="000555D1">
        <w:t xml:space="preserve"> zu den Empfehlungen des Beirats nach § 24 KHG</w:t>
      </w:r>
      <w:r>
        <w:t xml:space="preserve"> zu erforderlichen Maßnahmen zur Stärkung der Krankenhäuser im Rahmen der Corona-Pandemie und dem Gesetzesentwurf des Bundesgesundheitsministers</w:t>
      </w:r>
    </w:p>
    <w:p w:rsidR="007460DD" w:rsidRDefault="007460DD" w:rsidP="0055260A">
      <w:pPr>
        <w:spacing w:after="0"/>
        <w:rPr>
          <w:b/>
        </w:rPr>
      </w:pPr>
    </w:p>
    <w:p w:rsidR="001D05B1" w:rsidRPr="007460DD" w:rsidRDefault="007460DD" w:rsidP="0055260A">
      <w:pPr>
        <w:spacing w:after="0"/>
      </w:pPr>
      <w:r w:rsidRPr="007460DD">
        <w:t>Die Bundeskanzlerin</w:t>
      </w:r>
      <w:r w:rsidR="004E5AE9" w:rsidRPr="007460DD">
        <w:t xml:space="preserve"> und die </w:t>
      </w:r>
      <w:r>
        <w:t>Regierungschef</w:t>
      </w:r>
      <w:r w:rsidRPr="007460DD">
        <w:t>innen und Regierungschefs der</w:t>
      </w:r>
      <w:r w:rsidR="004E5AE9" w:rsidRPr="007460DD">
        <w:t xml:space="preserve"> Lände</w:t>
      </w:r>
      <w:r w:rsidRPr="007460DD">
        <w:t xml:space="preserve">r </w:t>
      </w:r>
      <w:r w:rsidR="004E5AE9" w:rsidRPr="007460DD">
        <w:t xml:space="preserve">haben in ihrer Videokonferenz am 28.10.2020 beschlossen, dass die Krankenhäuser weiterhin bei der Bereitstellung von Intensivbetten unterstützt werden sollen. </w:t>
      </w:r>
    </w:p>
    <w:p w:rsidR="004E5AE9" w:rsidRPr="007460DD" w:rsidRDefault="004E5AE9" w:rsidP="0055260A">
      <w:pPr>
        <w:spacing w:after="0"/>
      </w:pPr>
    </w:p>
    <w:p w:rsidR="004E5AE9" w:rsidRPr="007460DD" w:rsidRDefault="004E5AE9" w:rsidP="0055260A">
      <w:pPr>
        <w:spacing w:after="0"/>
      </w:pPr>
      <w:r w:rsidRPr="007460DD">
        <w:t>Dazu w</w:t>
      </w:r>
      <w:r w:rsidR="007460DD">
        <w:t>urde vom Bundesministerium für Gesund</w:t>
      </w:r>
      <w:r w:rsidRPr="007460DD">
        <w:t xml:space="preserve">heit die Empfehlung des Beirates nach § 24 KHG zu erforderlichen Maßnahmen zur Stärkung der Krankenhäuser der GMK vorgelegt. </w:t>
      </w:r>
    </w:p>
    <w:p w:rsidR="00D75853" w:rsidRPr="00D75853" w:rsidRDefault="00D75853" w:rsidP="0055260A">
      <w:pPr>
        <w:spacing w:after="0"/>
      </w:pPr>
    </w:p>
    <w:p w:rsidR="00D75853" w:rsidRDefault="004E5AE9" w:rsidP="0055260A">
      <w:pPr>
        <w:spacing w:after="0"/>
        <w:rPr>
          <w:rFonts w:cstheme="minorHAnsi"/>
          <w:b/>
          <w:szCs w:val="24"/>
          <w:u w:val="single"/>
        </w:rPr>
      </w:pPr>
      <w:r w:rsidRPr="00176B2B">
        <w:rPr>
          <w:rFonts w:cstheme="minorHAnsi"/>
          <w:b/>
          <w:szCs w:val="24"/>
          <w:u w:val="single"/>
        </w:rPr>
        <w:t>Vorbemerkung:</w:t>
      </w:r>
    </w:p>
    <w:p w:rsidR="00D75853" w:rsidRPr="00D75853" w:rsidRDefault="00D75853" w:rsidP="0055260A">
      <w:pPr>
        <w:spacing w:after="0"/>
        <w:rPr>
          <w:rFonts w:cstheme="minorHAnsi"/>
          <w:szCs w:val="24"/>
          <w:u w:val="single"/>
        </w:rPr>
      </w:pPr>
    </w:p>
    <w:p w:rsidR="004E5AE9" w:rsidRDefault="004E5AE9" w:rsidP="0055260A">
      <w:pPr>
        <w:spacing w:after="0"/>
        <w:rPr>
          <w:rFonts w:cstheme="minorHAnsi"/>
          <w:szCs w:val="24"/>
        </w:rPr>
      </w:pPr>
      <w:r w:rsidRPr="00593875">
        <w:rPr>
          <w:rFonts w:cstheme="minorHAnsi"/>
          <w:szCs w:val="24"/>
        </w:rPr>
        <w:t xml:space="preserve">Angesichts der ernsten Lage in den Krankenhäusern und steigenden Patientenzahlen auf den Intensivstationen ist keine Zeit, </w:t>
      </w:r>
      <w:r>
        <w:rPr>
          <w:rFonts w:cstheme="minorHAnsi"/>
          <w:szCs w:val="24"/>
        </w:rPr>
        <w:t xml:space="preserve">bundesweit </w:t>
      </w:r>
      <w:r w:rsidRPr="00593875">
        <w:rPr>
          <w:rFonts w:cstheme="minorHAnsi"/>
          <w:szCs w:val="24"/>
        </w:rPr>
        <w:t xml:space="preserve">ein </w:t>
      </w:r>
      <w:r>
        <w:rPr>
          <w:rFonts w:cstheme="minorHAnsi"/>
          <w:szCs w:val="24"/>
        </w:rPr>
        <w:t xml:space="preserve">einheitliches </w:t>
      </w:r>
      <w:r w:rsidRPr="00593875">
        <w:rPr>
          <w:rFonts w:cstheme="minorHAnsi"/>
          <w:szCs w:val="24"/>
        </w:rPr>
        <w:t>neues Versorgungssystem für Covid19-Patienten einzuführen. Dies würde bestehende Kooperation</w:t>
      </w:r>
      <w:r w:rsidR="007460DD">
        <w:rPr>
          <w:rFonts w:cstheme="minorHAnsi"/>
          <w:szCs w:val="24"/>
        </w:rPr>
        <w:t>s</w:t>
      </w:r>
      <w:r w:rsidRPr="00593875">
        <w:rPr>
          <w:rFonts w:cstheme="minorHAnsi"/>
          <w:szCs w:val="24"/>
        </w:rPr>
        <w:t>beziehungen und Netzwerke in den Ländern zerstören und zu einer deutlichen Verschlechterung der Versorgungssituation führen.</w:t>
      </w:r>
    </w:p>
    <w:p w:rsidR="0055260A" w:rsidRDefault="0055260A" w:rsidP="0055260A">
      <w:pPr>
        <w:spacing w:after="0"/>
        <w:rPr>
          <w:rFonts w:cstheme="minorHAnsi"/>
          <w:szCs w:val="24"/>
        </w:rPr>
      </w:pPr>
    </w:p>
    <w:p w:rsidR="00407FCA" w:rsidRDefault="00407FCA" w:rsidP="0055260A">
      <w:pPr>
        <w:spacing w:after="0"/>
      </w:pPr>
      <w:r w:rsidRPr="00823E95">
        <w:t>Die Wiedereinführung einer Regelung zu den Freihaltepauschalen i</w:t>
      </w:r>
      <w:r w:rsidR="00823E95" w:rsidRPr="00823E95">
        <w:t xml:space="preserve">st dringend erforderlich. </w:t>
      </w:r>
      <w:r w:rsidRPr="00823E95">
        <w:t>Allerdings wird in der Empfehlung des Beira</w:t>
      </w:r>
      <w:r w:rsidR="00823E95" w:rsidRPr="00823E95">
        <w:t>tes</w:t>
      </w:r>
      <w:r w:rsidRPr="00823E95">
        <w:t xml:space="preserve"> die Versorgungsrealität in den Ländern nicht berücksichtigt. Die bereits in den Bundesländern bestehenden und gut funktionierenden Versorgungsstrukturen müssen in dem neuen Ausgleichszahlungsmechanismus abgebildet werden. Die Regelung darf die vorhandene regionale Solidarität nicht aushebeln.</w:t>
      </w:r>
    </w:p>
    <w:p w:rsidR="0055260A" w:rsidRDefault="0055260A" w:rsidP="0055260A">
      <w:pPr>
        <w:spacing w:after="0"/>
      </w:pPr>
    </w:p>
    <w:p w:rsidR="00EA2023" w:rsidRPr="00EA2023" w:rsidRDefault="00EA2023" w:rsidP="0055260A">
      <w:pPr>
        <w:spacing w:after="0"/>
      </w:pPr>
      <w:r w:rsidRPr="00117B34">
        <w:lastRenderedPageBreak/>
        <w:t>Der vorgelegte Entwurf berücksichtigt ebenfalls nicht die vielfach vorhandenen Versorgungsverbünde</w:t>
      </w:r>
      <w:r w:rsidR="000C31D8" w:rsidRPr="00117B34">
        <w:t>, wozu auch Rehakliniken gehören</w:t>
      </w:r>
      <w:r w:rsidR="00117B34" w:rsidRPr="00117B34">
        <w:t>.</w:t>
      </w:r>
      <w:r w:rsidRPr="00117B34">
        <w:t xml:space="preserve"> So werden in der Praxis, Covid-19-Patienten zur abschließenden Behandlung und damit zur Entlastung von Voll/Maximalversorgern auch in andere Häuser verlegt. Außerdem b</w:t>
      </w:r>
      <w:r w:rsidR="0055260A" w:rsidRPr="00117B34">
        <w:t>estehen regional verei</w:t>
      </w:r>
      <w:r w:rsidR="0055260A">
        <w:t xml:space="preserve">nbarte, zum </w:t>
      </w:r>
      <w:r w:rsidRPr="00EA2023">
        <w:t>T</w:t>
      </w:r>
      <w:r w:rsidR="0055260A">
        <w:t>eil</w:t>
      </w:r>
      <w:r w:rsidRPr="00EA2023">
        <w:t xml:space="preserve"> länderübergreifende Unterstützungsnetzwerke. Mit der Bindung an die Notfallstufen wird eine gemeinsam organisierte Versorgung nach dem „Kleeblattmodell“ verunmöglicht. </w:t>
      </w:r>
    </w:p>
    <w:p w:rsidR="00EA2023" w:rsidRDefault="00EA2023" w:rsidP="0055260A">
      <w:pPr>
        <w:spacing w:after="0"/>
      </w:pPr>
    </w:p>
    <w:p w:rsidR="00DF1EF1" w:rsidRDefault="00DF1EF1" w:rsidP="0055260A">
      <w:pPr>
        <w:spacing w:after="0"/>
      </w:pPr>
      <w:r w:rsidRPr="00BE6EBF">
        <w:t>Das Abstellen auf das Kriterium Notfallstufen nach G</w:t>
      </w:r>
      <w:r w:rsidR="00632D3B">
        <w:t>-</w:t>
      </w:r>
      <w:r w:rsidRPr="00BE6EBF">
        <w:t xml:space="preserve">BA-Vorgaben wird nicht der Versorgungsrealität von Covid-19-Patienten gerecht. Daher bestehen </w:t>
      </w:r>
      <w:r w:rsidRPr="00BE6EBF">
        <w:rPr>
          <w:bCs/>
        </w:rPr>
        <w:t>große Bedenken an der Umsetzbarkeit der Empfehlungen</w:t>
      </w:r>
      <w:r w:rsidRPr="00BE6EBF">
        <w:t xml:space="preserve"> und der </w:t>
      </w:r>
      <w:r w:rsidR="00BE6EBF" w:rsidRPr="00BE6EBF">
        <w:t xml:space="preserve">fehlenden </w:t>
      </w:r>
      <w:r w:rsidRPr="00BE6EBF">
        <w:t>Möglichkeit der Länder, die berechtigten Krankenhäuser zu bestimmen. Das vorgesehene Kaskadenmodell wird als zu komplex und nicht administrierbar angesehen.</w:t>
      </w:r>
    </w:p>
    <w:p w:rsidR="00314E5A" w:rsidRDefault="00314E5A" w:rsidP="0055260A">
      <w:pPr>
        <w:spacing w:after="0"/>
      </w:pPr>
    </w:p>
    <w:p w:rsidR="00A51630" w:rsidRPr="00A51630" w:rsidRDefault="00A51630" w:rsidP="0055260A">
      <w:pPr>
        <w:spacing w:after="0"/>
      </w:pPr>
      <w:r w:rsidRPr="00A51630">
        <w:t>Die Einstufung in die Notfallversorgung erfolgt anhand von Kriterien durch die Vertragspartner (Kassen/KH) im Rahmen des Entgeltrechts, auf das die Länder keinen Einfluss haben. Viele Budgetvereinbarungen diesbezüglich sind noch gar nicht abgeschlossen. Die Länder wissen daher auch nicht in allen Fällen, in welchen Notfall-Stufen die Krankenhäuser sind</w:t>
      </w:r>
      <w:r w:rsidR="00AE7CB7">
        <w:t>;</w:t>
      </w:r>
      <w:r w:rsidRPr="00A51630">
        <w:t xml:space="preserve"> in Einzelfällen sind diese Einstufungen auch zwischen den Akteuren strittig und es sind entsprechende Schiedsstellenverfahren anhängig. </w:t>
      </w:r>
    </w:p>
    <w:p w:rsidR="00A51630" w:rsidRPr="00BE6EBF" w:rsidRDefault="00A51630" w:rsidP="0055260A">
      <w:pPr>
        <w:spacing w:after="0"/>
      </w:pPr>
    </w:p>
    <w:p w:rsidR="00F240F1" w:rsidRDefault="00F240F1" w:rsidP="0055260A">
      <w:pPr>
        <w:spacing w:after="0"/>
      </w:pPr>
      <w:r w:rsidRPr="00055EA3">
        <w:t xml:space="preserve">Von großer Bedeutung wird sein, wie freie betreibbare Intensivkapazitäten definiert werden. Das Unterschreiten </w:t>
      </w:r>
      <w:r w:rsidR="00055EA3" w:rsidRPr="00055EA3">
        <w:t>einer</w:t>
      </w:r>
      <w:r w:rsidRPr="00055EA3">
        <w:t xml:space="preserve"> zehnprozentigen Quote als Auslöser von Pauschalen für die Krankenhäuser ist als zu niedrig anzusehen, da dann die Reaktionszeiträume bei gleichzeitig anwachsenden komplexen Behandlungsbedarfen bei Covid-19 </w:t>
      </w:r>
      <w:r w:rsidR="00314E5A">
        <w:t>Patienten zu kurz sind.</w:t>
      </w:r>
    </w:p>
    <w:p w:rsidR="00314E5A" w:rsidRPr="00156C94" w:rsidRDefault="00314E5A" w:rsidP="0055260A">
      <w:pPr>
        <w:spacing w:after="0"/>
      </w:pPr>
    </w:p>
    <w:p w:rsidR="00D91DE7" w:rsidRPr="00156C94" w:rsidRDefault="00D91DE7" w:rsidP="0055260A">
      <w:pPr>
        <w:spacing w:after="0"/>
      </w:pPr>
      <w:r w:rsidRPr="00156C94">
        <w:t>Die geforderte Inzidenzgrenze verändert sich zudem kontinuierlich und könnte nur für längere Phasen erfasst und verwaltungstechnisch umgesetzt werden. Darüber hinaus berücksichtigt sie nicht, dass anwachsende Behandlungsbedarfe, erfahrungsgemäß nicht mit dem Inzidenzwert entstehen, sondern zeitversetzt nachlaufend</w:t>
      </w:r>
      <w:r w:rsidR="00156C94" w:rsidRPr="00156C94">
        <w:t xml:space="preserve">. </w:t>
      </w:r>
      <w:r w:rsidRPr="00156C94">
        <w:t xml:space="preserve">Weiterhin berücksichtigt die vorgeschlagene Regelung nicht, dass in vielen Regionen Krankenhäuser überregionale Versorgungsaufträge im Rahmen der besonders spezialisierten Behandlungen - auch und gerade Covid-19-Behandlungen - erfüllen. Die Inzidenz am </w:t>
      </w:r>
      <w:r w:rsidRPr="00156C94">
        <w:lastRenderedPageBreak/>
        <w:t xml:space="preserve">Krankenhausstandort (Landkreis oder kreisfreie Stadt) kann daher anders sein, als die der mitzuversorgenden Region. </w:t>
      </w:r>
    </w:p>
    <w:p w:rsidR="00407FCA" w:rsidRDefault="00407FCA" w:rsidP="0055260A">
      <w:pPr>
        <w:spacing w:after="0"/>
        <w:rPr>
          <w:rFonts w:cstheme="minorHAnsi"/>
          <w:szCs w:val="24"/>
        </w:rPr>
      </w:pPr>
    </w:p>
    <w:p w:rsidR="002A0384" w:rsidRDefault="004E5AE9" w:rsidP="0055260A">
      <w:pPr>
        <w:spacing w:after="0"/>
        <w:rPr>
          <w:rFonts w:cstheme="minorHAnsi"/>
          <w:szCs w:val="24"/>
        </w:rPr>
      </w:pPr>
      <w:r w:rsidRPr="0007194A">
        <w:rPr>
          <w:rFonts w:cstheme="minorHAnsi"/>
          <w:szCs w:val="24"/>
        </w:rPr>
        <w:t>Die geplante Systematik</w:t>
      </w:r>
      <w:r w:rsidR="00E03E5E">
        <w:rPr>
          <w:rFonts w:cstheme="minorHAnsi"/>
          <w:szCs w:val="24"/>
        </w:rPr>
        <w:t xml:space="preserve"> würde zu einem</w:t>
      </w:r>
      <w:r w:rsidRPr="0007194A">
        <w:rPr>
          <w:rFonts w:cstheme="minorHAnsi"/>
          <w:szCs w:val="24"/>
        </w:rPr>
        <w:t xml:space="preserve"> immensen Ver</w:t>
      </w:r>
      <w:r>
        <w:rPr>
          <w:rFonts w:cstheme="minorHAnsi"/>
          <w:szCs w:val="24"/>
        </w:rPr>
        <w:t>waltungsaufwand</w:t>
      </w:r>
      <w:r w:rsidR="00E03E5E">
        <w:rPr>
          <w:rFonts w:cstheme="minorHAnsi"/>
          <w:szCs w:val="24"/>
        </w:rPr>
        <w:t xml:space="preserve"> führen</w:t>
      </w:r>
      <w:r>
        <w:rPr>
          <w:rFonts w:cstheme="minorHAnsi"/>
          <w:szCs w:val="24"/>
        </w:rPr>
        <w:t>. Zudem hängt diese</w:t>
      </w:r>
      <w:r w:rsidRPr="0007194A">
        <w:rPr>
          <w:rFonts w:cstheme="minorHAnsi"/>
          <w:szCs w:val="24"/>
        </w:rPr>
        <w:t xml:space="preserve"> v</w:t>
      </w:r>
      <w:r>
        <w:rPr>
          <w:rFonts w:cstheme="minorHAnsi"/>
          <w:szCs w:val="24"/>
        </w:rPr>
        <w:t>on zu vielen unterschiedlichen V</w:t>
      </w:r>
      <w:r w:rsidRPr="0007194A">
        <w:rPr>
          <w:rFonts w:cstheme="minorHAnsi"/>
          <w:szCs w:val="24"/>
        </w:rPr>
        <w:t>ariablen ab und kann daher verwaltungstechnisch nicht umgesetzt werden.</w:t>
      </w:r>
    </w:p>
    <w:p w:rsidR="00E03E5E" w:rsidRPr="00266194" w:rsidRDefault="00E03E5E" w:rsidP="0055260A">
      <w:pPr>
        <w:spacing w:after="0"/>
        <w:rPr>
          <w:rFonts w:cstheme="minorHAnsi"/>
          <w:szCs w:val="24"/>
        </w:rPr>
      </w:pPr>
      <w:r w:rsidRPr="00156C94">
        <w:t xml:space="preserve">Verwaltungspraktisch wären ständig wechselnde Kapazitätsquoten ebenfalls schwer umsetzbar. </w:t>
      </w:r>
    </w:p>
    <w:p w:rsidR="004E5AE9" w:rsidRPr="00E36430" w:rsidRDefault="004E5AE9" w:rsidP="0055260A">
      <w:pPr>
        <w:spacing w:after="0"/>
      </w:pPr>
    </w:p>
    <w:p w:rsidR="00176B2B" w:rsidRPr="00E36430" w:rsidRDefault="00176B2B" w:rsidP="0055260A">
      <w:pPr>
        <w:spacing w:after="0"/>
      </w:pPr>
    </w:p>
    <w:p w:rsidR="00FA46C7" w:rsidRPr="00176B2B" w:rsidRDefault="00FA46C7" w:rsidP="0055260A">
      <w:pPr>
        <w:spacing w:after="0"/>
        <w:rPr>
          <w:rFonts w:cstheme="minorHAnsi"/>
          <w:b/>
          <w:szCs w:val="24"/>
          <w:u w:val="single"/>
        </w:rPr>
      </w:pPr>
      <w:r w:rsidRPr="00176B2B">
        <w:rPr>
          <w:rFonts w:cstheme="minorHAnsi"/>
          <w:b/>
          <w:szCs w:val="24"/>
          <w:u w:val="single"/>
        </w:rPr>
        <w:t>Dies vorausschickend wird Folgendes vorgeschlagen:</w:t>
      </w:r>
    </w:p>
    <w:p w:rsidR="00FA46C7" w:rsidRPr="00996E9A" w:rsidRDefault="00FA46C7" w:rsidP="0055260A">
      <w:pPr>
        <w:spacing w:after="0"/>
        <w:rPr>
          <w:rFonts w:cstheme="minorHAnsi"/>
          <w:szCs w:val="24"/>
        </w:rPr>
      </w:pPr>
    </w:p>
    <w:p w:rsidR="00FA46C7" w:rsidRPr="000C31D8" w:rsidRDefault="00FA46C7" w:rsidP="007F5569">
      <w:pPr>
        <w:pStyle w:val="Listenabsatz"/>
      </w:pPr>
      <w:r w:rsidRPr="000C31D8">
        <w:t xml:space="preserve">Übergangsregelung </w:t>
      </w:r>
    </w:p>
    <w:p w:rsidR="00FA46C7" w:rsidRDefault="00FA46C7" w:rsidP="0055260A">
      <w:pPr>
        <w:spacing w:after="0"/>
        <w:rPr>
          <w:rFonts w:cstheme="minorHAnsi"/>
          <w:szCs w:val="24"/>
        </w:rPr>
      </w:pPr>
    </w:p>
    <w:p w:rsidR="00533FF9" w:rsidRDefault="00533FF9" w:rsidP="0055260A">
      <w:pPr>
        <w:spacing w:after="0"/>
        <w:rPr>
          <w:rFonts w:cstheme="minorHAnsi"/>
          <w:szCs w:val="24"/>
        </w:rPr>
      </w:pPr>
    </w:p>
    <w:p w:rsidR="00FA46C7" w:rsidRDefault="00FA46C7" w:rsidP="0055260A">
      <w:pPr>
        <w:spacing w:after="0"/>
        <w:rPr>
          <w:rFonts w:cstheme="minorHAnsi"/>
          <w:szCs w:val="24"/>
        </w:rPr>
      </w:pPr>
      <w:r w:rsidRPr="0041116E">
        <w:rPr>
          <w:rFonts w:cstheme="minorHAnsi"/>
          <w:szCs w:val="24"/>
        </w:rPr>
        <w:t xml:space="preserve">Finale Regelungen </w:t>
      </w:r>
      <w:r>
        <w:rPr>
          <w:rFonts w:cstheme="minorHAnsi"/>
          <w:szCs w:val="24"/>
        </w:rPr>
        <w:t>werden im Rahmen des GPVG-Verfahrens (</w:t>
      </w:r>
      <w:r w:rsidRPr="00017E49">
        <w:rPr>
          <w:rFonts w:cstheme="minorHAnsi"/>
          <w:szCs w:val="24"/>
        </w:rPr>
        <w:t>Gesundheitsversorgungs- und Pflegeverbesserungsgesetz</w:t>
      </w:r>
      <w:r>
        <w:rPr>
          <w:rFonts w:cstheme="minorHAnsi"/>
          <w:szCs w:val="24"/>
        </w:rPr>
        <w:t>) implementiert.</w:t>
      </w:r>
    </w:p>
    <w:p w:rsidR="00FA46C7" w:rsidRDefault="00FA46C7" w:rsidP="0055260A">
      <w:pPr>
        <w:spacing w:after="0"/>
        <w:rPr>
          <w:rFonts w:cstheme="minorHAnsi"/>
          <w:szCs w:val="24"/>
        </w:rPr>
      </w:pPr>
    </w:p>
    <w:p w:rsidR="00FA46C7" w:rsidRPr="0041116E" w:rsidRDefault="00FA46C7" w:rsidP="0055260A">
      <w:pPr>
        <w:spacing w:after="0"/>
        <w:rPr>
          <w:rFonts w:cstheme="minorHAnsi"/>
          <w:szCs w:val="24"/>
        </w:rPr>
      </w:pPr>
      <w:r>
        <w:rPr>
          <w:rFonts w:cstheme="minorHAnsi"/>
          <w:szCs w:val="24"/>
        </w:rPr>
        <w:t>Bis dahin gilt:</w:t>
      </w:r>
    </w:p>
    <w:p w:rsidR="00FA46C7" w:rsidRPr="00CD2156" w:rsidRDefault="00FA46C7" w:rsidP="0055260A">
      <w:pPr>
        <w:spacing w:after="0"/>
        <w:rPr>
          <w:rFonts w:cstheme="minorHAnsi"/>
          <w:szCs w:val="24"/>
        </w:rPr>
      </w:pPr>
      <w:r>
        <w:rPr>
          <w:rFonts w:cstheme="minorHAnsi"/>
          <w:szCs w:val="24"/>
        </w:rPr>
        <w:t>A</w:t>
      </w:r>
      <w:r w:rsidRPr="00954D74">
        <w:rPr>
          <w:rFonts w:cstheme="minorHAnsi"/>
          <w:szCs w:val="24"/>
        </w:rPr>
        <w:t>lle Krankenhäus</w:t>
      </w:r>
      <w:r>
        <w:rPr>
          <w:rFonts w:cstheme="minorHAnsi"/>
          <w:szCs w:val="24"/>
        </w:rPr>
        <w:t xml:space="preserve">er bekommen Ausgleichszahlungen entsprechend der bis zum 30.09.2020 geltenden Regelung ab dem </w:t>
      </w:r>
      <w:r w:rsidRPr="00FB5063">
        <w:rPr>
          <w:rFonts w:cstheme="minorHAnsi"/>
          <w:szCs w:val="24"/>
        </w:rPr>
        <w:t>01.</w:t>
      </w:r>
      <w:r w:rsidR="005142A5">
        <w:rPr>
          <w:rFonts w:cstheme="minorHAnsi"/>
          <w:szCs w:val="24"/>
        </w:rPr>
        <w:t>11</w:t>
      </w:r>
      <w:r w:rsidRPr="00FB5063">
        <w:rPr>
          <w:rFonts w:cstheme="minorHAnsi"/>
          <w:szCs w:val="24"/>
        </w:rPr>
        <w:t xml:space="preserve">.2020. </w:t>
      </w:r>
    </w:p>
    <w:p w:rsidR="00FA46C7" w:rsidRDefault="00FA46C7" w:rsidP="0055260A">
      <w:pPr>
        <w:spacing w:after="0"/>
        <w:rPr>
          <w:rFonts w:cstheme="minorHAnsi"/>
          <w:szCs w:val="24"/>
        </w:rPr>
      </w:pPr>
    </w:p>
    <w:p w:rsidR="00FA46C7" w:rsidRDefault="00FA46C7" w:rsidP="0055260A">
      <w:pPr>
        <w:spacing w:after="0"/>
        <w:rPr>
          <w:rFonts w:cstheme="minorHAnsi"/>
          <w:szCs w:val="24"/>
        </w:rPr>
      </w:pPr>
      <w:r>
        <w:rPr>
          <w:rFonts w:cstheme="minorHAnsi"/>
          <w:szCs w:val="24"/>
        </w:rPr>
        <w:t xml:space="preserve">Im Nachgang erfolgt nachgelagert eine </w:t>
      </w:r>
      <w:r w:rsidRPr="00954D74">
        <w:rPr>
          <w:rFonts w:cstheme="minorHAnsi"/>
          <w:szCs w:val="24"/>
        </w:rPr>
        <w:t xml:space="preserve">Spitzabrechnung im Rahmen der Budgetverhandlungen; d.h. es gibt auch keine Schwellenwerte bei den </w:t>
      </w:r>
      <w:r>
        <w:rPr>
          <w:rFonts w:cstheme="minorHAnsi"/>
          <w:szCs w:val="24"/>
        </w:rPr>
        <w:t>verfügbaren Intensivkapazitäten.</w:t>
      </w:r>
    </w:p>
    <w:p w:rsidR="00FA46C7" w:rsidRDefault="00FA46C7" w:rsidP="0055260A">
      <w:pPr>
        <w:spacing w:after="0"/>
        <w:rPr>
          <w:rFonts w:cstheme="minorHAnsi"/>
          <w:szCs w:val="24"/>
        </w:rPr>
      </w:pPr>
    </w:p>
    <w:p w:rsidR="00FA46C7" w:rsidRPr="00182FC6" w:rsidRDefault="00FA46C7" w:rsidP="0055260A">
      <w:pPr>
        <w:spacing w:after="0"/>
        <w:rPr>
          <w:rFonts w:cstheme="minorHAnsi"/>
          <w:szCs w:val="24"/>
        </w:rPr>
      </w:pPr>
      <w:r>
        <w:rPr>
          <w:rFonts w:cstheme="minorHAnsi"/>
          <w:szCs w:val="24"/>
        </w:rPr>
        <w:t>Notwendige Ergänzungen:</w:t>
      </w:r>
      <w:r w:rsidR="005455B8">
        <w:rPr>
          <w:rFonts w:cstheme="minorHAnsi"/>
          <w:szCs w:val="24"/>
        </w:rPr>
        <w:t xml:space="preserve"> </w:t>
      </w:r>
      <w:r w:rsidR="000C4402">
        <w:rPr>
          <w:rFonts w:cstheme="minorHAnsi"/>
          <w:szCs w:val="24"/>
        </w:rPr>
        <w:t xml:space="preserve">Auch </w:t>
      </w:r>
      <w:r w:rsidR="00677628">
        <w:rPr>
          <w:rFonts w:cstheme="minorHAnsi"/>
          <w:szCs w:val="24"/>
        </w:rPr>
        <w:t xml:space="preserve">die </w:t>
      </w:r>
      <w:r w:rsidRPr="00182FC6">
        <w:rPr>
          <w:rFonts w:cstheme="minorHAnsi"/>
          <w:szCs w:val="24"/>
        </w:rPr>
        <w:t>Reha</w:t>
      </w:r>
      <w:r w:rsidR="00677628">
        <w:rPr>
          <w:rFonts w:cstheme="minorHAnsi"/>
          <w:szCs w:val="24"/>
        </w:rPr>
        <w:t xml:space="preserve">kliniken müssen die Möglichkeit bekommen, Patienten akut stationär zu behandeln. Auch an </w:t>
      </w:r>
      <w:r w:rsidRPr="00182FC6">
        <w:rPr>
          <w:rFonts w:cstheme="minorHAnsi"/>
          <w:szCs w:val="24"/>
        </w:rPr>
        <w:t>Einrichtunge</w:t>
      </w:r>
      <w:r>
        <w:rPr>
          <w:rFonts w:cstheme="minorHAnsi"/>
          <w:szCs w:val="24"/>
        </w:rPr>
        <w:t>n mit temporär erteiltem Versor</w:t>
      </w:r>
      <w:r w:rsidRPr="00182FC6">
        <w:rPr>
          <w:rFonts w:cstheme="minorHAnsi"/>
          <w:szCs w:val="24"/>
        </w:rPr>
        <w:t>gungsauftrag zur akutstationären Behandlung</w:t>
      </w:r>
      <w:r w:rsidR="000C4402">
        <w:rPr>
          <w:rFonts w:cstheme="minorHAnsi"/>
          <w:szCs w:val="24"/>
        </w:rPr>
        <w:t xml:space="preserve"> erfolgen Ausgleichszahlungen</w:t>
      </w:r>
      <w:r w:rsidRPr="00182FC6">
        <w:rPr>
          <w:rFonts w:cstheme="minorHAnsi"/>
          <w:szCs w:val="24"/>
        </w:rPr>
        <w:t xml:space="preserve"> (zwei Teile: Vergütung für erbrachte Leistungen und Ausgleich für Leerstände wegen Freihaltung)</w:t>
      </w:r>
      <w:r w:rsidR="000C4402">
        <w:rPr>
          <w:rFonts w:cstheme="minorHAnsi"/>
          <w:szCs w:val="24"/>
        </w:rPr>
        <w:t>.</w:t>
      </w:r>
    </w:p>
    <w:p w:rsidR="00FA46C7" w:rsidRDefault="00FA46C7" w:rsidP="0055260A">
      <w:pPr>
        <w:spacing w:after="0"/>
        <w:rPr>
          <w:rFonts w:cstheme="minorHAnsi"/>
          <w:szCs w:val="24"/>
        </w:rPr>
      </w:pPr>
    </w:p>
    <w:p w:rsidR="00F674E8" w:rsidRDefault="00F674E8" w:rsidP="0055260A">
      <w:pPr>
        <w:spacing w:after="0"/>
        <w:rPr>
          <w:rFonts w:cstheme="minorHAnsi"/>
          <w:szCs w:val="24"/>
        </w:rPr>
      </w:pPr>
    </w:p>
    <w:p w:rsidR="00F674E8" w:rsidRDefault="00F674E8" w:rsidP="0055260A">
      <w:pPr>
        <w:spacing w:after="0"/>
        <w:rPr>
          <w:rFonts w:cstheme="minorHAnsi"/>
          <w:szCs w:val="24"/>
        </w:rPr>
      </w:pPr>
    </w:p>
    <w:p w:rsidR="002A0384" w:rsidRDefault="002A0384" w:rsidP="0055260A">
      <w:pPr>
        <w:spacing w:after="0"/>
        <w:rPr>
          <w:rFonts w:cstheme="minorHAnsi"/>
          <w:szCs w:val="24"/>
        </w:rPr>
      </w:pPr>
    </w:p>
    <w:p w:rsidR="00F674E8" w:rsidRDefault="00F674E8" w:rsidP="0055260A">
      <w:pPr>
        <w:spacing w:after="0"/>
        <w:rPr>
          <w:rFonts w:cstheme="minorHAnsi"/>
          <w:szCs w:val="24"/>
        </w:rPr>
      </w:pPr>
    </w:p>
    <w:p w:rsidR="00A51630" w:rsidRPr="007F5569" w:rsidRDefault="00FA46C7" w:rsidP="007F5569">
      <w:pPr>
        <w:pStyle w:val="Listenabsatz"/>
      </w:pPr>
      <w:r w:rsidRPr="007F5569">
        <w:t>Finale Regelungen</w:t>
      </w:r>
    </w:p>
    <w:p w:rsidR="00FF2D33" w:rsidRDefault="00FF2D33" w:rsidP="0055260A">
      <w:pPr>
        <w:spacing w:after="0"/>
        <w:rPr>
          <w:rFonts w:cstheme="minorHAnsi"/>
          <w:b/>
          <w:szCs w:val="24"/>
        </w:rPr>
      </w:pPr>
    </w:p>
    <w:p w:rsidR="00533FF9" w:rsidRDefault="00533FF9" w:rsidP="0055260A">
      <w:pPr>
        <w:spacing w:after="0"/>
        <w:rPr>
          <w:rFonts w:cstheme="minorHAnsi"/>
          <w:b/>
          <w:szCs w:val="24"/>
        </w:rPr>
      </w:pPr>
    </w:p>
    <w:p w:rsidR="0070076F" w:rsidRDefault="00FA46C7" w:rsidP="0055260A">
      <w:pPr>
        <w:spacing w:after="0"/>
        <w:rPr>
          <w:rFonts w:cstheme="minorHAnsi"/>
          <w:szCs w:val="24"/>
        </w:rPr>
      </w:pPr>
      <w:r w:rsidRPr="00996E9A">
        <w:rPr>
          <w:rFonts w:cstheme="minorHAnsi"/>
          <w:b/>
          <w:szCs w:val="24"/>
        </w:rPr>
        <w:t>2.1.</w:t>
      </w:r>
      <w:r>
        <w:rPr>
          <w:rFonts w:cstheme="minorHAnsi"/>
          <w:szCs w:val="24"/>
        </w:rPr>
        <w:t xml:space="preserve"> </w:t>
      </w:r>
    </w:p>
    <w:p w:rsidR="00A51630" w:rsidRDefault="00A51630" w:rsidP="0055260A">
      <w:pPr>
        <w:spacing w:after="0"/>
        <w:rPr>
          <w:rFonts w:cstheme="minorHAnsi"/>
          <w:szCs w:val="24"/>
        </w:rPr>
      </w:pPr>
      <w:r w:rsidRPr="00C81E48">
        <w:rPr>
          <w:rFonts w:cstheme="minorHAnsi"/>
          <w:szCs w:val="24"/>
        </w:rPr>
        <w:t>Es erfolgt kein Anknüpfen an eine Inzidenzschwelle.</w:t>
      </w:r>
      <w:r>
        <w:rPr>
          <w:rFonts w:cstheme="minorHAnsi"/>
          <w:szCs w:val="24"/>
        </w:rPr>
        <w:t xml:space="preserve"> </w:t>
      </w:r>
    </w:p>
    <w:p w:rsidR="00A51630" w:rsidRDefault="00A51630" w:rsidP="0055260A">
      <w:pPr>
        <w:spacing w:after="0"/>
        <w:rPr>
          <w:rFonts w:cstheme="minorHAnsi"/>
          <w:szCs w:val="24"/>
        </w:rPr>
      </w:pPr>
    </w:p>
    <w:p w:rsidR="00FA46C7" w:rsidRDefault="00FA46C7" w:rsidP="0055260A">
      <w:pPr>
        <w:spacing w:after="0"/>
        <w:rPr>
          <w:rFonts w:cstheme="minorHAnsi"/>
          <w:szCs w:val="24"/>
        </w:rPr>
      </w:pPr>
      <w:r w:rsidRPr="00954D74">
        <w:rPr>
          <w:rFonts w:cstheme="minorHAnsi"/>
          <w:szCs w:val="24"/>
        </w:rPr>
        <w:t xml:space="preserve">Ab einem Schwellenwert von </w:t>
      </w:r>
      <w:r w:rsidRPr="00890514">
        <w:rPr>
          <w:rFonts w:cstheme="minorHAnsi"/>
          <w:szCs w:val="24"/>
        </w:rPr>
        <w:t xml:space="preserve">30 % aller </w:t>
      </w:r>
      <w:r>
        <w:rPr>
          <w:rFonts w:cstheme="minorHAnsi"/>
          <w:szCs w:val="24"/>
        </w:rPr>
        <w:t>verfügbarer Intensivkapazitäten</w:t>
      </w:r>
      <w:r w:rsidRPr="00954D74">
        <w:rPr>
          <w:rFonts w:cstheme="minorHAnsi"/>
          <w:szCs w:val="24"/>
        </w:rPr>
        <w:t xml:space="preserve"> in einer </w:t>
      </w:r>
      <w:r w:rsidR="004241C7">
        <w:rPr>
          <w:rFonts w:cstheme="minorHAnsi"/>
          <w:szCs w:val="24"/>
        </w:rPr>
        <w:t>dur</w:t>
      </w:r>
      <w:r w:rsidR="00CC0D4B">
        <w:rPr>
          <w:rFonts w:cstheme="minorHAnsi"/>
          <w:szCs w:val="24"/>
        </w:rPr>
        <w:t xml:space="preserve">ch die Länder </w:t>
      </w:r>
      <w:r w:rsidRPr="00954D74">
        <w:rPr>
          <w:rFonts w:cstheme="minorHAnsi"/>
          <w:szCs w:val="24"/>
        </w:rPr>
        <w:t>festzulegenden Region (</w:t>
      </w:r>
      <w:r>
        <w:rPr>
          <w:rFonts w:cstheme="minorHAnsi"/>
          <w:szCs w:val="24"/>
        </w:rPr>
        <w:t>Cluster,</w:t>
      </w:r>
      <w:r w:rsidRPr="00954D74">
        <w:rPr>
          <w:rFonts w:cstheme="minorHAnsi"/>
          <w:szCs w:val="24"/>
        </w:rPr>
        <w:t xml:space="preserve"> Regierungsbezirk</w:t>
      </w:r>
      <w:r>
        <w:rPr>
          <w:rFonts w:cstheme="minorHAnsi"/>
          <w:szCs w:val="24"/>
        </w:rPr>
        <w:t xml:space="preserve"> oder </w:t>
      </w:r>
      <w:r w:rsidRPr="00C35AAD">
        <w:rPr>
          <w:rFonts w:cstheme="minorHAnsi"/>
          <w:szCs w:val="24"/>
        </w:rPr>
        <w:t>Versorgungsregion</w:t>
      </w:r>
      <w:r w:rsidR="00EF012F">
        <w:rPr>
          <w:rFonts w:cstheme="minorHAnsi"/>
          <w:szCs w:val="24"/>
        </w:rPr>
        <w:t xml:space="preserve"> oder Stadtstaaten</w:t>
      </w:r>
      <w:r>
        <w:rPr>
          <w:rFonts w:cstheme="minorHAnsi"/>
          <w:szCs w:val="24"/>
        </w:rPr>
        <w:t>) können</w:t>
      </w:r>
      <w:r w:rsidRPr="00954D74">
        <w:rPr>
          <w:rFonts w:cstheme="minorHAnsi"/>
          <w:szCs w:val="24"/>
        </w:rPr>
        <w:t xml:space="preserve"> alle Krankenhäuser </w:t>
      </w:r>
      <w:r>
        <w:rPr>
          <w:rFonts w:cstheme="minorHAnsi"/>
          <w:szCs w:val="24"/>
        </w:rPr>
        <w:t xml:space="preserve">nach Festlegung des Landes </w:t>
      </w:r>
      <w:r w:rsidRPr="00954D74">
        <w:rPr>
          <w:rFonts w:cstheme="minorHAnsi"/>
          <w:szCs w:val="24"/>
        </w:rPr>
        <w:t>Ausgleichszahlungen</w:t>
      </w:r>
      <w:r>
        <w:rPr>
          <w:rFonts w:cstheme="minorHAnsi"/>
          <w:szCs w:val="24"/>
        </w:rPr>
        <w:t xml:space="preserve"> erhalten</w:t>
      </w:r>
      <w:r w:rsidRPr="00954D74">
        <w:rPr>
          <w:rFonts w:cstheme="minorHAnsi"/>
          <w:szCs w:val="24"/>
        </w:rPr>
        <w:t>. Damit wird eine flächendeckende Versorgung gewährleistet</w:t>
      </w:r>
      <w:r w:rsidR="004241C7">
        <w:rPr>
          <w:rFonts w:cstheme="minorHAnsi"/>
          <w:szCs w:val="24"/>
        </w:rPr>
        <w:t>.</w:t>
      </w:r>
    </w:p>
    <w:p w:rsidR="00F96ED9" w:rsidRPr="00A51630" w:rsidRDefault="00F96ED9" w:rsidP="0055260A">
      <w:pPr>
        <w:spacing w:after="0"/>
        <w:rPr>
          <w:rFonts w:cstheme="minorHAnsi"/>
          <w:szCs w:val="24"/>
        </w:rPr>
      </w:pPr>
    </w:p>
    <w:p w:rsidR="00FA46C7" w:rsidRDefault="00FA46C7" w:rsidP="0055260A">
      <w:pPr>
        <w:spacing w:after="0"/>
        <w:rPr>
          <w:rFonts w:cstheme="minorHAnsi"/>
          <w:szCs w:val="24"/>
        </w:rPr>
      </w:pPr>
      <w:r w:rsidRPr="00C35AAD">
        <w:rPr>
          <w:rFonts w:cstheme="minorHAnsi"/>
          <w:szCs w:val="24"/>
        </w:rPr>
        <w:t xml:space="preserve">Gemeint sind die </w:t>
      </w:r>
      <w:r w:rsidR="00CB4DEB">
        <w:rPr>
          <w:rFonts w:cstheme="minorHAnsi"/>
          <w:szCs w:val="24"/>
        </w:rPr>
        <w:t>Krankenh</w:t>
      </w:r>
      <w:r w:rsidRPr="00C35AAD">
        <w:rPr>
          <w:rFonts w:cstheme="minorHAnsi"/>
          <w:szCs w:val="24"/>
        </w:rPr>
        <w:t xml:space="preserve">äuser, die entweder aktiv an der Versorgung von Covid-19-Patienten beteiligt sind oder durch </w:t>
      </w:r>
      <w:r w:rsidR="000D4FAC">
        <w:rPr>
          <w:rFonts w:cstheme="minorHAnsi"/>
          <w:szCs w:val="24"/>
        </w:rPr>
        <w:t xml:space="preserve">Vorhalten von Kapazitäten und </w:t>
      </w:r>
      <w:r w:rsidRPr="00C35AAD">
        <w:rPr>
          <w:rFonts w:cstheme="minorHAnsi"/>
          <w:szCs w:val="24"/>
        </w:rPr>
        <w:t>Übernahme von Patienten aus diesen</w:t>
      </w:r>
      <w:r w:rsidR="00CB4DEB">
        <w:rPr>
          <w:rFonts w:cstheme="minorHAnsi"/>
          <w:szCs w:val="24"/>
        </w:rPr>
        <w:t xml:space="preserve"> Krankenh</w:t>
      </w:r>
      <w:r w:rsidRPr="00C35AAD">
        <w:rPr>
          <w:rFonts w:cstheme="minorHAnsi"/>
          <w:szCs w:val="24"/>
        </w:rPr>
        <w:t xml:space="preserve">äusern mittelbar die Versorgung von Covid-19-Patienten verbessern. Damit partizipieren auch die </w:t>
      </w:r>
      <w:r w:rsidR="0051453E">
        <w:rPr>
          <w:rFonts w:cstheme="minorHAnsi"/>
          <w:szCs w:val="24"/>
        </w:rPr>
        <w:t>Kranken</w:t>
      </w:r>
      <w:r w:rsidR="00AB352E">
        <w:rPr>
          <w:rFonts w:cstheme="minorHAnsi"/>
          <w:szCs w:val="24"/>
        </w:rPr>
        <w:t>h</w:t>
      </w:r>
      <w:r w:rsidRPr="00C35AAD">
        <w:rPr>
          <w:rFonts w:cstheme="minorHAnsi"/>
          <w:szCs w:val="24"/>
        </w:rPr>
        <w:t>äuser, zu deren Lasten Patienten ab</w:t>
      </w:r>
      <w:r>
        <w:rPr>
          <w:rFonts w:cstheme="minorHAnsi"/>
          <w:szCs w:val="24"/>
        </w:rPr>
        <w:t>f</w:t>
      </w:r>
      <w:r w:rsidRPr="00C35AAD">
        <w:rPr>
          <w:rFonts w:cstheme="minorHAnsi"/>
          <w:szCs w:val="24"/>
        </w:rPr>
        <w:t>ließen</w:t>
      </w:r>
      <w:r w:rsidR="00CB4DEB">
        <w:rPr>
          <w:rFonts w:cstheme="minorHAnsi"/>
          <w:szCs w:val="24"/>
        </w:rPr>
        <w:t>,</w:t>
      </w:r>
      <w:r w:rsidRPr="00C35AAD">
        <w:rPr>
          <w:rFonts w:cstheme="minorHAnsi"/>
          <w:szCs w:val="24"/>
        </w:rPr>
        <w:t xml:space="preserve"> um Betten zu generieren.</w:t>
      </w:r>
    </w:p>
    <w:p w:rsidR="00987ACD" w:rsidRDefault="00987ACD" w:rsidP="0055260A">
      <w:pPr>
        <w:spacing w:after="0"/>
        <w:rPr>
          <w:rFonts w:cstheme="minorHAnsi"/>
          <w:szCs w:val="24"/>
        </w:rPr>
      </w:pPr>
    </w:p>
    <w:p w:rsidR="00987ACD" w:rsidRPr="003D4308" w:rsidRDefault="00987ACD" w:rsidP="00117B34">
      <w:r w:rsidRPr="003D4308">
        <w:t>Bezugspunkt sind die gemeldeten Zahlen im DIVI-Melderegister. Dafür wird eine Schnittstelle zu den ländereigenen elektronischen Erfassungssystemen (bspw. IVENA) zügig zur Verfügung gestellt.</w:t>
      </w:r>
    </w:p>
    <w:p w:rsidR="00176B2B" w:rsidRPr="003D4308" w:rsidRDefault="00176B2B" w:rsidP="003D4308"/>
    <w:p w:rsidR="00987ACD" w:rsidRPr="003D4308" w:rsidRDefault="00987ACD" w:rsidP="00117B34">
      <w:r w:rsidRPr="003D4308">
        <w:t xml:space="preserve">Die Zahl der betreibbaren Intensivbetten muss zu einem Stichtag festgelegt werden. Wenn es zu Bettensperrungen oder der Öffnung von Reservekapazitäten kommt, kann die Voraussetzung für die Gewährung der Ausgleichszahlungen sich nicht ändern. Ebenso muss sich die Prozentgrenze auf alle bestimmten Krankenhäuser als Gesamtheit beziehen. </w:t>
      </w:r>
    </w:p>
    <w:p w:rsidR="00FA46C7" w:rsidRPr="00954D74" w:rsidRDefault="00FA46C7" w:rsidP="0055260A">
      <w:pPr>
        <w:spacing w:after="0"/>
        <w:rPr>
          <w:rFonts w:cstheme="minorHAnsi"/>
          <w:szCs w:val="24"/>
        </w:rPr>
      </w:pPr>
    </w:p>
    <w:p w:rsidR="00A0180E" w:rsidRDefault="00CB4DEB" w:rsidP="0055260A">
      <w:pPr>
        <w:spacing w:after="0"/>
        <w:rPr>
          <w:rFonts w:cstheme="minorHAnsi"/>
          <w:szCs w:val="24"/>
        </w:rPr>
      </w:pPr>
      <w:r>
        <w:rPr>
          <w:rFonts w:cstheme="minorHAnsi"/>
          <w:szCs w:val="24"/>
        </w:rPr>
        <w:t>(Alternativ:</w:t>
      </w:r>
      <w:r w:rsidR="00FA46C7">
        <w:rPr>
          <w:rFonts w:cstheme="minorHAnsi"/>
          <w:szCs w:val="24"/>
        </w:rPr>
        <w:t xml:space="preserve"> </w:t>
      </w:r>
      <w:r w:rsidR="00FA46C7" w:rsidRPr="00302B84">
        <w:rPr>
          <w:rFonts w:cstheme="minorHAnsi"/>
          <w:szCs w:val="24"/>
        </w:rPr>
        <w:t xml:space="preserve">Das Land bestimmt die </w:t>
      </w:r>
      <w:r w:rsidR="00FA46C7">
        <w:rPr>
          <w:rFonts w:cstheme="minorHAnsi"/>
          <w:szCs w:val="24"/>
        </w:rPr>
        <w:t xml:space="preserve">aus versorgungsrechtlicher Sicht erforderlichen </w:t>
      </w:r>
      <w:r w:rsidR="00FA46C7" w:rsidRPr="00302B84">
        <w:rPr>
          <w:rFonts w:cstheme="minorHAnsi"/>
          <w:szCs w:val="24"/>
        </w:rPr>
        <w:t>Krankenhäuser</w:t>
      </w:r>
      <w:r w:rsidR="00FA46C7">
        <w:rPr>
          <w:rFonts w:cstheme="minorHAnsi"/>
          <w:szCs w:val="24"/>
        </w:rPr>
        <w:t xml:space="preserve">; dabei besteht keine Bindung an die </w:t>
      </w:r>
      <w:r w:rsidR="00FA46C7" w:rsidRPr="00C81E48">
        <w:rPr>
          <w:rFonts w:cstheme="minorHAnsi"/>
          <w:szCs w:val="24"/>
        </w:rPr>
        <w:t>G</w:t>
      </w:r>
      <w:r w:rsidR="004F6B70">
        <w:rPr>
          <w:rFonts w:cstheme="minorHAnsi"/>
          <w:szCs w:val="24"/>
        </w:rPr>
        <w:t>-</w:t>
      </w:r>
      <w:r w:rsidR="00FA46C7" w:rsidRPr="00C81E48">
        <w:rPr>
          <w:rFonts w:cstheme="minorHAnsi"/>
          <w:szCs w:val="24"/>
        </w:rPr>
        <w:t>BA-Notfallstufen</w:t>
      </w:r>
      <w:r w:rsidR="00FA46C7">
        <w:rPr>
          <w:rFonts w:cstheme="minorHAnsi"/>
          <w:szCs w:val="24"/>
        </w:rPr>
        <w:t>.</w:t>
      </w:r>
      <w:r>
        <w:rPr>
          <w:rFonts w:cstheme="minorHAnsi"/>
          <w:szCs w:val="24"/>
        </w:rPr>
        <w:t>)</w:t>
      </w:r>
    </w:p>
    <w:p w:rsidR="00A0180E" w:rsidRDefault="00A0180E" w:rsidP="0055260A">
      <w:pPr>
        <w:spacing w:after="0"/>
        <w:rPr>
          <w:rFonts w:cstheme="minorHAnsi"/>
          <w:szCs w:val="24"/>
        </w:rPr>
      </w:pPr>
    </w:p>
    <w:p w:rsidR="000E1A9D" w:rsidRDefault="000E1A9D" w:rsidP="0055260A">
      <w:pPr>
        <w:spacing w:after="0"/>
        <w:rPr>
          <w:rFonts w:cstheme="minorHAnsi"/>
          <w:szCs w:val="24"/>
        </w:rPr>
      </w:pPr>
      <w:r>
        <w:rPr>
          <w:rFonts w:cstheme="minorHAnsi"/>
          <w:szCs w:val="24"/>
        </w:rPr>
        <w:lastRenderedPageBreak/>
        <w:t>Das Heranziehen von Spezialversorgern wird dadurch nicht ausgeschlossen.</w:t>
      </w:r>
    </w:p>
    <w:p w:rsidR="000E1A9D" w:rsidRDefault="000E1A9D" w:rsidP="0055260A">
      <w:pPr>
        <w:spacing w:after="0"/>
        <w:rPr>
          <w:rFonts w:cstheme="minorHAnsi"/>
          <w:szCs w:val="24"/>
        </w:rPr>
      </w:pPr>
    </w:p>
    <w:p w:rsidR="000E1A9D" w:rsidRDefault="000E1A9D" w:rsidP="0055260A">
      <w:pPr>
        <w:spacing w:after="0"/>
        <w:rPr>
          <w:rFonts w:cstheme="minorHAnsi"/>
          <w:szCs w:val="24"/>
        </w:rPr>
      </w:pPr>
      <w:r w:rsidRPr="00346DF0">
        <w:rPr>
          <w:rFonts w:cstheme="minorHAnsi"/>
          <w:szCs w:val="24"/>
        </w:rPr>
        <w:t>Einbezogen werden können im Bedarfsfall auch Krankenhäus</w:t>
      </w:r>
      <w:r>
        <w:rPr>
          <w:rFonts w:cstheme="minorHAnsi"/>
          <w:szCs w:val="24"/>
        </w:rPr>
        <w:t>er, die selbst keine Intensivka</w:t>
      </w:r>
      <w:r w:rsidRPr="00346DF0">
        <w:rPr>
          <w:rFonts w:cstheme="minorHAnsi"/>
          <w:szCs w:val="24"/>
        </w:rPr>
        <w:t>pazitäten vorhalten, aber Häuser mit Intensivkapazitäten auf Veranlassung des Landes / der Verantwortlichen vor Ort durch Übernahme von Patienten o.ä. entlasten.</w:t>
      </w:r>
    </w:p>
    <w:p w:rsidR="00D972B2" w:rsidRDefault="00D972B2" w:rsidP="0055260A">
      <w:pPr>
        <w:spacing w:after="0"/>
        <w:rPr>
          <w:rFonts w:cstheme="minorHAnsi"/>
          <w:szCs w:val="24"/>
        </w:rPr>
      </w:pPr>
    </w:p>
    <w:p w:rsidR="00C756E3" w:rsidRDefault="00FA46C7" w:rsidP="0055260A">
      <w:pPr>
        <w:spacing w:after="0"/>
        <w:rPr>
          <w:rFonts w:cstheme="minorHAnsi"/>
          <w:szCs w:val="24"/>
        </w:rPr>
      </w:pPr>
      <w:r w:rsidRPr="00996E9A">
        <w:rPr>
          <w:rFonts w:cstheme="minorHAnsi"/>
          <w:b/>
          <w:szCs w:val="24"/>
        </w:rPr>
        <w:t>2.2.</w:t>
      </w:r>
      <w:r>
        <w:rPr>
          <w:rFonts w:cstheme="minorHAnsi"/>
          <w:szCs w:val="24"/>
        </w:rPr>
        <w:t xml:space="preserve"> </w:t>
      </w:r>
    </w:p>
    <w:p w:rsidR="00C756E3" w:rsidRDefault="00C756E3" w:rsidP="0055260A">
      <w:pPr>
        <w:spacing w:after="0"/>
        <w:rPr>
          <w:rFonts w:cstheme="minorHAnsi"/>
          <w:szCs w:val="24"/>
        </w:rPr>
      </w:pPr>
      <w:r w:rsidRPr="00E32EED">
        <w:rPr>
          <w:rFonts w:cstheme="minorHAnsi"/>
          <w:szCs w:val="24"/>
        </w:rPr>
        <w:t xml:space="preserve">Die </w:t>
      </w:r>
      <w:proofErr w:type="spellStart"/>
      <w:r w:rsidRPr="00E32EED">
        <w:rPr>
          <w:rFonts w:cstheme="minorHAnsi"/>
          <w:szCs w:val="24"/>
        </w:rPr>
        <w:t>PpUGV</w:t>
      </w:r>
      <w:proofErr w:type="spellEnd"/>
      <w:r w:rsidRPr="00E32EED">
        <w:rPr>
          <w:rFonts w:cstheme="minorHAnsi"/>
          <w:szCs w:val="24"/>
        </w:rPr>
        <w:t xml:space="preserve"> ist wie im Frühjahr generell auszusetzen.</w:t>
      </w:r>
    </w:p>
    <w:p w:rsidR="00C756E3" w:rsidRPr="00C756E3" w:rsidRDefault="00C756E3" w:rsidP="0055260A">
      <w:pPr>
        <w:spacing w:after="0"/>
        <w:rPr>
          <w:rFonts w:cstheme="minorHAnsi"/>
          <w:szCs w:val="24"/>
        </w:rPr>
      </w:pPr>
    </w:p>
    <w:p w:rsidR="00FA46C7" w:rsidRPr="00954D74" w:rsidRDefault="00FA46C7" w:rsidP="0055260A">
      <w:pPr>
        <w:spacing w:after="0"/>
        <w:rPr>
          <w:rFonts w:cstheme="minorHAnsi"/>
          <w:szCs w:val="24"/>
        </w:rPr>
      </w:pPr>
      <w:r w:rsidRPr="00954D74">
        <w:rPr>
          <w:rFonts w:cstheme="minorHAnsi"/>
          <w:szCs w:val="24"/>
        </w:rPr>
        <w:t xml:space="preserve">Der Beirat schlägt vor, dass für Krankenhäuser, die Ausgleichszahlungen erhalten, die Ausnahmeregelung der </w:t>
      </w:r>
      <w:proofErr w:type="spellStart"/>
      <w:r w:rsidRPr="00954D74">
        <w:rPr>
          <w:rFonts w:cstheme="minorHAnsi"/>
          <w:szCs w:val="24"/>
        </w:rPr>
        <w:t>PpUGV</w:t>
      </w:r>
      <w:proofErr w:type="spellEnd"/>
      <w:r w:rsidRPr="00954D74">
        <w:rPr>
          <w:rFonts w:cstheme="minorHAnsi"/>
          <w:szCs w:val="24"/>
        </w:rPr>
        <w:t xml:space="preserve"> (epidemische Lage) als erfüllt gelten sollte mit der Folge, dass die Pflegepersonaluntergrenzen von diesem Krankenhaus nicht eingehalten werden müssen und ein Unterschreiten der Grenzen keine Sanktionierung nach sich zieht. </w:t>
      </w:r>
    </w:p>
    <w:p w:rsidR="00FA46C7" w:rsidRPr="00FF2D33" w:rsidRDefault="00FA46C7" w:rsidP="0055260A">
      <w:pPr>
        <w:spacing w:after="0"/>
        <w:rPr>
          <w:rFonts w:cstheme="minorHAnsi"/>
          <w:szCs w:val="24"/>
        </w:rPr>
      </w:pPr>
    </w:p>
    <w:p w:rsidR="00D56B3A" w:rsidRDefault="00FA46C7" w:rsidP="0055260A">
      <w:pPr>
        <w:spacing w:after="0"/>
        <w:rPr>
          <w:rFonts w:cstheme="minorHAnsi"/>
          <w:b/>
          <w:szCs w:val="24"/>
        </w:rPr>
      </w:pPr>
      <w:r w:rsidRPr="00996E9A">
        <w:rPr>
          <w:rFonts w:cstheme="minorHAnsi"/>
          <w:b/>
          <w:szCs w:val="24"/>
        </w:rPr>
        <w:t>2.3.</w:t>
      </w:r>
    </w:p>
    <w:p w:rsidR="00FA46C7" w:rsidRDefault="00FA46C7" w:rsidP="0055260A">
      <w:pPr>
        <w:spacing w:after="0"/>
        <w:rPr>
          <w:rFonts w:cstheme="minorHAnsi"/>
          <w:szCs w:val="24"/>
        </w:rPr>
      </w:pPr>
      <w:r w:rsidRPr="00E32EED">
        <w:rPr>
          <w:rFonts w:cstheme="minorHAnsi"/>
          <w:szCs w:val="24"/>
        </w:rPr>
        <w:t xml:space="preserve">Die Ausgleichszahlungen sind auch künftig in voller Höhe zu zahlen, eine Reduzierung auf 90% oder gar 75% ist nicht akzeptabel. </w:t>
      </w:r>
    </w:p>
    <w:p w:rsidR="001D05B1" w:rsidRDefault="001D05B1" w:rsidP="0055260A">
      <w:pPr>
        <w:spacing w:after="0"/>
      </w:pPr>
    </w:p>
    <w:p w:rsidR="00194790" w:rsidRDefault="00194790" w:rsidP="0055260A">
      <w:pPr>
        <w:spacing w:after="0"/>
      </w:pPr>
    </w:p>
    <w:p w:rsidR="00194790" w:rsidRDefault="00194790" w:rsidP="0055260A">
      <w:pPr>
        <w:spacing w:after="0"/>
      </w:pPr>
    </w:p>
    <w:p w:rsidR="00EC4CDE" w:rsidRDefault="00EC4CDE" w:rsidP="0055260A">
      <w:pPr>
        <w:spacing w:after="0"/>
      </w:pPr>
      <w:r w:rsidRPr="009756AA">
        <w:t>Die Absenkung der MDK-Prüfquote auf 5 Prozent</w:t>
      </w:r>
      <w:r w:rsidR="009756AA">
        <w:t xml:space="preserve"> soll weiter beibehalten werden, um die Bürokratielast für die Krankenhäuser zu vermindern.</w:t>
      </w:r>
    </w:p>
    <w:p w:rsidR="009756AA" w:rsidRPr="009756AA" w:rsidRDefault="009756AA" w:rsidP="0055260A">
      <w:pPr>
        <w:spacing w:after="0"/>
      </w:pPr>
    </w:p>
    <w:p w:rsidR="00A266FC" w:rsidRDefault="00A266FC" w:rsidP="0055260A">
      <w:pPr>
        <w:spacing w:after="0"/>
      </w:pPr>
      <w:r w:rsidRPr="00593875">
        <w:t>Die in §§ 23 Abs. 2, 25 Abs. 3 KHG n.F. dem BMG eingeräumten Verordnungsermächtigungen sind an die Zustimmung des Bundesrates zu koppeln</w:t>
      </w:r>
      <w:r>
        <w:t xml:space="preserve">. Bei weiteren Änderungen im Rahmen der Rechtsverordnung nach § 23 KHG sind die Länder frühzeitig zu beteiligen. </w:t>
      </w:r>
    </w:p>
    <w:p w:rsidR="00A266FC" w:rsidRPr="00E14FD9" w:rsidRDefault="00A266FC" w:rsidP="00C95551">
      <w:pPr>
        <w:spacing w:after="0"/>
        <w:rPr>
          <w:highlight w:val="yellow"/>
        </w:rPr>
      </w:pPr>
    </w:p>
    <w:p w:rsidR="001D05B1" w:rsidRPr="00673B67" w:rsidRDefault="001D05B1" w:rsidP="0055260A">
      <w:pPr>
        <w:spacing w:after="0"/>
      </w:pPr>
      <w:r w:rsidRPr="00673B67">
        <w:t>Zusammengefasst erfüllt der Entwurf aus Sicht</w:t>
      </w:r>
      <w:r w:rsidR="00987ACD" w:rsidRPr="00673B67">
        <w:t xml:space="preserve"> </w:t>
      </w:r>
      <w:r w:rsidRPr="00673B67">
        <w:t>der Gesundheitsministerkonferenz nicht die Intention des Beschlusses der MPs und der Bundeskanzlerin, eine effektive Unterstützung der Krankenhäuser in der Corona-Pandemie zu leisten.</w:t>
      </w:r>
    </w:p>
    <w:p w:rsidR="001D05B1" w:rsidRPr="007F5569" w:rsidRDefault="001D05B1" w:rsidP="007F5569">
      <w:pPr>
        <w:ind w:left="360"/>
        <w:rPr>
          <w:highlight w:val="yellow"/>
        </w:rPr>
      </w:pPr>
    </w:p>
    <w:p w:rsidR="001D05B1" w:rsidRDefault="001D05B1" w:rsidP="0055260A">
      <w:pPr>
        <w:spacing w:after="0"/>
      </w:pPr>
      <w:r w:rsidRPr="000F28EA">
        <w:lastRenderedPageBreak/>
        <w:t xml:space="preserve">Als einfache, bedarfsgerechte und unbürokratische Alternative bietet sich </w:t>
      </w:r>
      <w:r w:rsidR="000F28EA" w:rsidRPr="000F28EA">
        <w:t>darüber hinaus an,</w:t>
      </w:r>
      <w:r w:rsidRPr="000F28EA">
        <w:t xml:space="preserve"> auf die Vereinbarung von AOK-Bundesverband und DKG vom Februar/März zurückzukommen. Hier war der automatische Erlösausgleich im Verhältnis zum Vorjahresmonat vorgesehen (z.B. November 2019 im Vergleich zu November 2020).</w:t>
      </w:r>
    </w:p>
    <w:p w:rsidR="001D05B1" w:rsidRDefault="001D05B1" w:rsidP="0055260A">
      <w:pPr>
        <w:spacing w:after="0"/>
      </w:pPr>
    </w:p>
    <w:p w:rsidR="002C3289" w:rsidRPr="000F28EA" w:rsidRDefault="000F28EA" w:rsidP="0055260A">
      <w:pPr>
        <w:spacing w:after="0"/>
        <w:rPr>
          <w:b/>
          <w:szCs w:val="24"/>
          <w:u w:val="single"/>
        </w:rPr>
      </w:pPr>
      <w:r w:rsidRPr="000F28EA">
        <w:rPr>
          <w:b/>
          <w:szCs w:val="24"/>
          <w:u w:val="single"/>
        </w:rPr>
        <w:t>Votum:</w:t>
      </w:r>
      <w:r w:rsidR="00E959B2" w:rsidRPr="00E959B2">
        <w:rPr>
          <w:b/>
          <w:szCs w:val="24"/>
        </w:rPr>
        <w:t xml:space="preserve"> </w:t>
      </w:r>
      <w:proofErr w:type="gramStart"/>
      <w:r w:rsidR="00E959B2" w:rsidRPr="00E959B2">
        <w:rPr>
          <w:b/>
          <w:szCs w:val="24"/>
        </w:rPr>
        <w:t>16 :</w:t>
      </w:r>
      <w:proofErr w:type="gramEnd"/>
      <w:r w:rsidR="00E959B2" w:rsidRPr="00E959B2">
        <w:rPr>
          <w:b/>
          <w:szCs w:val="24"/>
        </w:rPr>
        <w:t xml:space="preserve"> 0 : 0</w:t>
      </w:r>
      <w:bookmarkStart w:id="0" w:name="_GoBack"/>
      <w:bookmarkEnd w:id="0"/>
    </w:p>
    <w:sectPr w:rsidR="002C3289" w:rsidRPr="000F28E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CB7" w:rsidRDefault="00AE7CB7">
      <w:r>
        <w:separator/>
      </w:r>
    </w:p>
  </w:endnote>
  <w:endnote w:type="continuationSeparator" w:id="0">
    <w:p w:rsidR="00AE7CB7" w:rsidRDefault="00AE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B7" w:rsidRDefault="00AE7CB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B7" w:rsidRDefault="00AE7CB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B7" w:rsidRDefault="00AE7C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CB7" w:rsidRDefault="00AE7CB7">
      <w:r>
        <w:separator/>
      </w:r>
    </w:p>
  </w:footnote>
  <w:footnote w:type="continuationSeparator" w:id="0">
    <w:p w:rsidR="00AE7CB7" w:rsidRDefault="00AE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B7" w:rsidRDefault="00AE7C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B7" w:rsidRDefault="00AE7CB7">
    <w:pPr>
      <w:pStyle w:val="Kopfzeile"/>
    </w:pPr>
    <w:r>
      <w:tab/>
      <w:t xml:space="preserve">- </w:t>
    </w:r>
    <w:r>
      <w:fldChar w:fldCharType="begin"/>
    </w:r>
    <w:r>
      <w:instrText xml:space="preserve"> PAGE </w:instrText>
    </w:r>
    <w:r>
      <w:fldChar w:fldCharType="separate"/>
    </w:r>
    <w:r w:rsidR="00E959B2">
      <w:rPr>
        <w:noProof/>
      </w:rPr>
      <w:t>6</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B7" w:rsidRDefault="00AE7CB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90E0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711EB"/>
    <w:multiLevelType w:val="multilevel"/>
    <w:tmpl w:val="39EC8D1E"/>
    <w:numStyleLink w:val="Formatvorlage1"/>
  </w:abstractNum>
  <w:abstractNum w:abstractNumId="2" w15:restartNumberingAfterBreak="0">
    <w:nsid w:val="016943B6"/>
    <w:multiLevelType w:val="multilevel"/>
    <w:tmpl w:val="39EC8D1E"/>
    <w:numStyleLink w:val="Formatvorlage1"/>
  </w:abstractNum>
  <w:abstractNum w:abstractNumId="3" w15:restartNumberingAfterBreak="0">
    <w:nsid w:val="02A773B7"/>
    <w:multiLevelType w:val="hybridMultilevel"/>
    <w:tmpl w:val="BF825C4A"/>
    <w:lvl w:ilvl="0" w:tplc="DE3AF732">
      <w:start w:val="1"/>
      <w:numFmt w:val="decimal"/>
      <w:pStyle w:val="Listenabsatz"/>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39C1A06"/>
    <w:multiLevelType w:val="hybridMultilevel"/>
    <w:tmpl w:val="6C989E08"/>
    <w:lvl w:ilvl="0" w:tplc="A078A8E8">
      <w:start w:val="84"/>
      <w:numFmt w:val="bullet"/>
      <w:lvlText w:val="-"/>
      <w:lvlJc w:val="left"/>
      <w:pPr>
        <w:ind w:left="720" w:hanging="360"/>
      </w:pPr>
      <w:rPr>
        <w:rFonts w:ascii="Arial" w:eastAsia="Times New Roman" w:hAnsi="Arial" w:cs="Arial" w:hint="default"/>
        <w:sz w:val="24"/>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D96BAB"/>
    <w:multiLevelType w:val="multilevel"/>
    <w:tmpl w:val="39EC8D1E"/>
    <w:numStyleLink w:val="Formatvorlage1"/>
  </w:abstractNum>
  <w:abstractNum w:abstractNumId="6" w15:restartNumberingAfterBreak="0">
    <w:nsid w:val="1F262A28"/>
    <w:multiLevelType w:val="hybridMultilevel"/>
    <w:tmpl w:val="02ACDFD6"/>
    <w:lvl w:ilvl="0" w:tplc="0407000F">
      <w:start w:val="1"/>
      <w:numFmt w:val="decimal"/>
      <w:lvlText w:val="%1."/>
      <w:lvlJc w:val="left"/>
      <w:pPr>
        <w:tabs>
          <w:tab w:val="num" w:pos="915"/>
        </w:tabs>
        <w:ind w:left="915" w:hanging="360"/>
      </w:pPr>
    </w:lvl>
    <w:lvl w:ilvl="1" w:tplc="04070019" w:tentative="1">
      <w:start w:val="1"/>
      <w:numFmt w:val="lowerLetter"/>
      <w:lvlText w:val="%2."/>
      <w:lvlJc w:val="left"/>
      <w:pPr>
        <w:tabs>
          <w:tab w:val="num" w:pos="1635"/>
        </w:tabs>
        <w:ind w:left="1635" w:hanging="360"/>
      </w:pPr>
    </w:lvl>
    <w:lvl w:ilvl="2" w:tplc="0407001B" w:tentative="1">
      <w:start w:val="1"/>
      <w:numFmt w:val="lowerRoman"/>
      <w:lvlText w:val="%3."/>
      <w:lvlJc w:val="right"/>
      <w:pPr>
        <w:tabs>
          <w:tab w:val="num" w:pos="2355"/>
        </w:tabs>
        <w:ind w:left="2355" w:hanging="180"/>
      </w:pPr>
    </w:lvl>
    <w:lvl w:ilvl="3" w:tplc="0407000F" w:tentative="1">
      <w:start w:val="1"/>
      <w:numFmt w:val="decimal"/>
      <w:lvlText w:val="%4."/>
      <w:lvlJc w:val="left"/>
      <w:pPr>
        <w:tabs>
          <w:tab w:val="num" w:pos="3075"/>
        </w:tabs>
        <w:ind w:left="3075" w:hanging="360"/>
      </w:pPr>
    </w:lvl>
    <w:lvl w:ilvl="4" w:tplc="04070019" w:tentative="1">
      <w:start w:val="1"/>
      <w:numFmt w:val="lowerLetter"/>
      <w:lvlText w:val="%5."/>
      <w:lvlJc w:val="left"/>
      <w:pPr>
        <w:tabs>
          <w:tab w:val="num" w:pos="3795"/>
        </w:tabs>
        <w:ind w:left="3795" w:hanging="360"/>
      </w:pPr>
    </w:lvl>
    <w:lvl w:ilvl="5" w:tplc="0407001B" w:tentative="1">
      <w:start w:val="1"/>
      <w:numFmt w:val="lowerRoman"/>
      <w:lvlText w:val="%6."/>
      <w:lvlJc w:val="right"/>
      <w:pPr>
        <w:tabs>
          <w:tab w:val="num" w:pos="4515"/>
        </w:tabs>
        <w:ind w:left="4515" w:hanging="180"/>
      </w:pPr>
    </w:lvl>
    <w:lvl w:ilvl="6" w:tplc="0407000F" w:tentative="1">
      <w:start w:val="1"/>
      <w:numFmt w:val="decimal"/>
      <w:lvlText w:val="%7."/>
      <w:lvlJc w:val="left"/>
      <w:pPr>
        <w:tabs>
          <w:tab w:val="num" w:pos="5235"/>
        </w:tabs>
        <w:ind w:left="5235" w:hanging="360"/>
      </w:pPr>
    </w:lvl>
    <w:lvl w:ilvl="7" w:tplc="04070019" w:tentative="1">
      <w:start w:val="1"/>
      <w:numFmt w:val="lowerLetter"/>
      <w:lvlText w:val="%8."/>
      <w:lvlJc w:val="left"/>
      <w:pPr>
        <w:tabs>
          <w:tab w:val="num" w:pos="5955"/>
        </w:tabs>
        <w:ind w:left="5955" w:hanging="360"/>
      </w:pPr>
    </w:lvl>
    <w:lvl w:ilvl="8" w:tplc="0407001B" w:tentative="1">
      <w:start w:val="1"/>
      <w:numFmt w:val="lowerRoman"/>
      <w:lvlText w:val="%9."/>
      <w:lvlJc w:val="right"/>
      <w:pPr>
        <w:tabs>
          <w:tab w:val="num" w:pos="6675"/>
        </w:tabs>
        <w:ind w:left="6675" w:hanging="180"/>
      </w:pPr>
    </w:lvl>
  </w:abstractNum>
  <w:abstractNum w:abstractNumId="7" w15:restartNumberingAfterBreak="0">
    <w:nsid w:val="1FCF7B5B"/>
    <w:multiLevelType w:val="multilevel"/>
    <w:tmpl w:val="5B9CFE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8" w15:restartNumberingAfterBreak="0">
    <w:nsid w:val="2FBB458A"/>
    <w:multiLevelType w:val="hybridMultilevel"/>
    <w:tmpl w:val="15CC9342"/>
    <w:lvl w:ilvl="0" w:tplc="88B06D2C">
      <w:start w:val="1"/>
      <w:numFmt w:val="bullet"/>
      <w:lvlText w:val=""/>
      <w:lvlJc w:val="left"/>
      <w:pPr>
        <w:tabs>
          <w:tab w:val="num" w:pos="1110"/>
        </w:tabs>
        <w:ind w:left="1110" w:hanging="360"/>
      </w:pPr>
      <w:rPr>
        <w:rFonts w:ascii="Wingdings" w:hAnsi="Wingdings" w:hint="default"/>
        <w:sz w:val="18"/>
      </w:rPr>
    </w:lvl>
    <w:lvl w:ilvl="1" w:tplc="04070003" w:tentative="1">
      <w:start w:val="1"/>
      <w:numFmt w:val="bullet"/>
      <w:lvlText w:val="o"/>
      <w:lvlJc w:val="left"/>
      <w:pPr>
        <w:tabs>
          <w:tab w:val="num" w:pos="1830"/>
        </w:tabs>
        <w:ind w:left="1830" w:hanging="360"/>
      </w:pPr>
      <w:rPr>
        <w:rFonts w:ascii="Courier New" w:hAnsi="Courier New" w:cs="Courier New" w:hint="default"/>
      </w:rPr>
    </w:lvl>
    <w:lvl w:ilvl="2" w:tplc="04070005" w:tentative="1">
      <w:start w:val="1"/>
      <w:numFmt w:val="bullet"/>
      <w:lvlText w:val=""/>
      <w:lvlJc w:val="left"/>
      <w:pPr>
        <w:tabs>
          <w:tab w:val="num" w:pos="2550"/>
        </w:tabs>
        <w:ind w:left="2550" w:hanging="360"/>
      </w:pPr>
      <w:rPr>
        <w:rFonts w:ascii="Wingdings" w:hAnsi="Wingdings" w:hint="default"/>
      </w:rPr>
    </w:lvl>
    <w:lvl w:ilvl="3" w:tplc="04070001" w:tentative="1">
      <w:start w:val="1"/>
      <w:numFmt w:val="bullet"/>
      <w:lvlText w:val=""/>
      <w:lvlJc w:val="left"/>
      <w:pPr>
        <w:tabs>
          <w:tab w:val="num" w:pos="3270"/>
        </w:tabs>
        <w:ind w:left="3270" w:hanging="360"/>
      </w:pPr>
      <w:rPr>
        <w:rFonts w:ascii="Symbol" w:hAnsi="Symbol" w:hint="default"/>
      </w:rPr>
    </w:lvl>
    <w:lvl w:ilvl="4" w:tplc="04070003" w:tentative="1">
      <w:start w:val="1"/>
      <w:numFmt w:val="bullet"/>
      <w:lvlText w:val="o"/>
      <w:lvlJc w:val="left"/>
      <w:pPr>
        <w:tabs>
          <w:tab w:val="num" w:pos="3990"/>
        </w:tabs>
        <w:ind w:left="3990" w:hanging="360"/>
      </w:pPr>
      <w:rPr>
        <w:rFonts w:ascii="Courier New" w:hAnsi="Courier New" w:cs="Courier New" w:hint="default"/>
      </w:rPr>
    </w:lvl>
    <w:lvl w:ilvl="5" w:tplc="04070005" w:tentative="1">
      <w:start w:val="1"/>
      <w:numFmt w:val="bullet"/>
      <w:lvlText w:val=""/>
      <w:lvlJc w:val="left"/>
      <w:pPr>
        <w:tabs>
          <w:tab w:val="num" w:pos="4710"/>
        </w:tabs>
        <w:ind w:left="4710" w:hanging="360"/>
      </w:pPr>
      <w:rPr>
        <w:rFonts w:ascii="Wingdings" w:hAnsi="Wingdings" w:hint="default"/>
      </w:rPr>
    </w:lvl>
    <w:lvl w:ilvl="6" w:tplc="04070001" w:tentative="1">
      <w:start w:val="1"/>
      <w:numFmt w:val="bullet"/>
      <w:lvlText w:val=""/>
      <w:lvlJc w:val="left"/>
      <w:pPr>
        <w:tabs>
          <w:tab w:val="num" w:pos="5430"/>
        </w:tabs>
        <w:ind w:left="5430" w:hanging="360"/>
      </w:pPr>
      <w:rPr>
        <w:rFonts w:ascii="Symbol" w:hAnsi="Symbol" w:hint="default"/>
      </w:rPr>
    </w:lvl>
    <w:lvl w:ilvl="7" w:tplc="04070003" w:tentative="1">
      <w:start w:val="1"/>
      <w:numFmt w:val="bullet"/>
      <w:lvlText w:val="o"/>
      <w:lvlJc w:val="left"/>
      <w:pPr>
        <w:tabs>
          <w:tab w:val="num" w:pos="6150"/>
        </w:tabs>
        <w:ind w:left="6150" w:hanging="360"/>
      </w:pPr>
      <w:rPr>
        <w:rFonts w:ascii="Courier New" w:hAnsi="Courier New" w:cs="Courier New" w:hint="default"/>
      </w:rPr>
    </w:lvl>
    <w:lvl w:ilvl="8" w:tplc="0407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3BFB4D8B"/>
    <w:multiLevelType w:val="hybridMultilevel"/>
    <w:tmpl w:val="3F2CF8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3E0604"/>
    <w:multiLevelType w:val="hybridMultilevel"/>
    <w:tmpl w:val="E54ADDD2"/>
    <w:lvl w:ilvl="0" w:tplc="88B06D2C">
      <w:start w:val="1"/>
      <w:numFmt w:val="bullet"/>
      <w:lvlText w:val=""/>
      <w:lvlJc w:val="left"/>
      <w:pPr>
        <w:ind w:left="720" w:hanging="360"/>
      </w:pPr>
      <w:rPr>
        <w:rFonts w:ascii="Wingdings" w:hAnsi="Wingdings"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9678BA"/>
    <w:multiLevelType w:val="hybridMultilevel"/>
    <w:tmpl w:val="8DA446DE"/>
    <w:lvl w:ilvl="0" w:tplc="5802B3C2">
      <w:start w:val="84"/>
      <w:numFmt w:val="bullet"/>
      <w:lvlText w:val="-"/>
      <w:lvlJc w:val="left"/>
      <w:pPr>
        <w:ind w:left="720" w:hanging="360"/>
      </w:pPr>
      <w:rPr>
        <w:rFonts w:ascii="Arial" w:eastAsia="Times New Roman" w:hAnsi="Arial" w:cs="Arial" w:hint="default"/>
        <w:sz w:val="24"/>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A35CBE"/>
    <w:multiLevelType w:val="multilevel"/>
    <w:tmpl w:val="39EC8D1E"/>
    <w:styleLink w:val="Formatvorlage1"/>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none"/>
      <w:lvlText w:val="%3-"/>
      <w:lvlJc w:val="left"/>
      <w:pPr>
        <w:ind w:left="141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4B18E9"/>
    <w:multiLevelType w:val="hybridMultilevel"/>
    <w:tmpl w:val="5BC0390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53F520C7"/>
    <w:multiLevelType w:val="singleLevel"/>
    <w:tmpl w:val="CAA22C32"/>
    <w:lvl w:ilvl="0">
      <w:start w:val="2"/>
      <w:numFmt w:val="upperRoman"/>
      <w:pStyle w:val="Verfgung"/>
      <w:lvlText w:val="%1."/>
      <w:lvlJc w:val="left"/>
      <w:pPr>
        <w:tabs>
          <w:tab w:val="num" w:pos="720"/>
        </w:tabs>
        <w:ind w:left="720" w:hanging="720"/>
      </w:pPr>
    </w:lvl>
  </w:abstractNum>
  <w:abstractNum w:abstractNumId="15" w15:restartNumberingAfterBreak="0">
    <w:nsid w:val="546E3780"/>
    <w:multiLevelType w:val="hybridMultilevel"/>
    <w:tmpl w:val="427867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59A3F52"/>
    <w:multiLevelType w:val="multilevel"/>
    <w:tmpl w:val="39EC8D1E"/>
    <w:numStyleLink w:val="Formatvorlage1"/>
  </w:abstractNum>
  <w:abstractNum w:abstractNumId="17" w15:restartNumberingAfterBreak="0">
    <w:nsid w:val="5B5A5827"/>
    <w:multiLevelType w:val="hybridMultilevel"/>
    <w:tmpl w:val="3F064220"/>
    <w:lvl w:ilvl="0" w:tplc="541297B6">
      <w:start w:val="1"/>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E564981"/>
    <w:multiLevelType w:val="multilevel"/>
    <w:tmpl w:val="0BB20DA2"/>
    <w:lvl w:ilvl="0">
      <w:start w:val="1"/>
      <w:numFmt w:val="decimal"/>
      <w:lvlText w:val="%1."/>
      <w:lvlJc w:val="left"/>
      <w:pPr>
        <w:ind w:left="360" w:hanging="360"/>
      </w:pPr>
      <w:rPr>
        <w:rFonts w:hint="default"/>
      </w:rPr>
    </w:lvl>
    <w:lvl w:ilvl="1">
      <w:start w:val="4"/>
      <w:numFmt w:val="decimal"/>
      <w:isLgl/>
      <w:lvlText w:val="%1.%2."/>
      <w:lvlJc w:val="left"/>
      <w:pPr>
        <w:ind w:left="3192" w:hanging="720"/>
      </w:pPr>
      <w:rPr>
        <w:rFonts w:hint="default"/>
        <w:b/>
      </w:rPr>
    </w:lvl>
    <w:lvl w:ilvl="2">
      <w:start w:val="1"/>
      <w:numFmt w:val="decimal"/>
      <w:isLgl/>
      <w:lvlText w:val="%1.%2.%3."/>
      <w:lvlJc w:val="left"/>
      <w:pPr>
        <w:ind w:left="5664" w:hanging="720"/>
      </w:pPr>
      <w:rPr>
        <w:rFonts w:hint="default"/>
        <w:b/>
      </w:rPr>
    </w:lvl>
    <w:lvl w:ilvl="3">
      <w:start w:val="1"/>
      <w:numFmt w:val="decimal"/>
      <w:isLgl/>
      <w:lvlText w:val="%1.%2.%3.%4."/>
      <w:lvlJc w:val="left"/>
      <w:pPr>
        <w:ind w:left="8496" w:hanging="1080"/>
      </w:pPr>
      <w:rPr>
        <w:rFonts w:hint="default"/>
        <w:b/>
      </w:rPr>
    </w:lvl>
    <w:lvl w:ilvl="4">
      <w:start w:val="1"/>
      <w:numFmt w:val="decimal"/>
      <w:isLgl/>
      <w:lvlText w:val="%1.%2.%3.%4.%5."/>
      <w:lvlJc w:val="left"/>
      <w:pPr>
        <w:ind w:left="10968" w:hanging="1080"/>
      </w:pPr>
      <w:rPr>
        <w:rFonts w:hint="default"/>
        <w:b/>
      </w:rPr>
    </w:lvl>
    <w:lvl w:ilvl="5">
      <w:start w:val="1"/>
      <w:numFmt w:val="decimal"/>
      <w:isLgl/>
      <w:lvlText w:val="%1.%2.%3.%4.%5.%6."/>
      <w:lvlJc w:val="left"/>
      <w:pPr>
        <w:ind w:left="13800" w:hanging="1440"/>
      </w:pPr>
      <w:rPr>
        <w:rFonts w:hint="default"/>
        <w:b/>
      </w:rPr>
    </w:lvl>
    <w:lvl w:ilvl="6">
      <w:start w:val="1"/>
      <w:numFmt w:val="decimal"/>
      <w:isLgl/>
      <w:lvlText w:val="%1.%2.%3.%4.%5.%6.%7."/>
      <w:lvlJc w:val="left"/>
      <w:pPr>
        <w:ind w:left="16272" w:hanging="1440"/>
      </w:pPr>
      <w:rPr>
        <w:rFonts w:hint="default"/>
        <w:b/>
      </w:rPr>
    </w:lvl>
    <w:lvl w:ilvl="7">
      <w:start w:val="1"/>
      <w:numFmt w:val="decimal"/>
      <w:isLgl/>
      <w:lvlText w:val="%1.%2.%3.%4.%5.%6.%7.%8."/>
      <w:lvlJc w:val="left"/>
      <w:pPr>
        <w:ind w:left="19104" w:hanging="1800"/>
      </w:pPr>
      <w:rPr>
        <w:rFonts w:hint="default"/>
        <w:b/>
      </w:rPr>
    </w:lvl>
    <w:lvl w:ilvl="8">
      <w:start w:val="1"/>
      <w:numFmt w:val="decimal"/>
      <w:isLgl/>
      <w:lvlText w:val="%1.%2.%3.%4.%5.%6.%7.%8.%9."/>
      <w:lvlJc w:val="left"/>
      <w:pPr>
        <w:ind w:left="21936" w:hanging="2160"/>
      </w:pPr>
      <w:rPr>
        <w:rFonts w:hint="default"/>
        <w:b/>
      </w:rPr>
    </w:lvl>
  </w:abstractNum>
  <w:abstractNum w:abstractNumId="19" w15:restartNumberingAfterBreak="0">
    <w:nsid w:val="6089375C"/>
    <w:multiLevelType w:val="hybridMultilevel"/>
    <w:tmpl w:val="0D503608"/>
    <w:lvl w:ilvl="0" w:tplc="88B06D2C">
      <w:start w:val="1"/>
      <w:numFmt w:val="bullet"/>
      <w:lvlText w:val=""/>
      <w:lvlJc w:val="left"/>
      <w:pPr>
        <w:ind w:left="360" w:hanging="360"/>
      </w:pPr>
      <w:rPr>
        <w:rFonts w:ascii="Wingdings" w:hAnsi="Wingdings" w:hint="default"/>
        <w:sz w:val="18"/>
      </w:rPr>
    </w:lvl>
    <w:lvl w:ilvl="1" w:tplc="04070003">
      <w:start w:val="1"/>
      <w:numFmt w:val="bullet"/>
      <w:lvlText w:val="o"/>
      <w:lvlJc w:val="left"/>
      <w:pPr>
        <w:ind w:left="1080" w:hanging="360"/>
      </w:pPr>
      <w:rPr>
        <w:rFonts w:ascii="Courier New" w:hAnsi="Courier New" w:cs="Courier New" w:hint="default"/>
      </w:rPr>
    </w:lvl>
    <w:lvl w:ilvl="2" w:tplc="04070001">
      <w:start w:val="1"/>
      <w:numFmt w:val="bullet"/>
      <w:lvlText w:val=""/>
      <w:lvlJc w:val="left"/>
      <w:pPr>
        <w:ind w:left="1800" w:hanging="360"/>
      </w:pPr>
      <w:rPr>
        <w:rFonts w:ascii="Symbol" w:hAnsi="Symbo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A80712F"/>
    <w:multiLevelType w:val="hybridMultilevel"/>
    <w:tmpl w:val="D2D23FDC"/>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0"/>
  </w:num>
  <w:num w:numId="2">
    <w:abstractNumId w:val="14"/>
  </w:num>
  <w:num w:numId="3">
    <w:abstractNumId w:val="17"/>
  </w:num>
  <w:num w:numId="4">
    <w:abstractNumId w:val="7"/>
  </w:num>
  <w:num w:numId="5">
    <w:abstractNumId w:val="13"/>
  </w:num>
  <w:num w:numId="6">
    <w:abstractNumId w:val="8"/>
  </w:num>
  <w:num w:numId="7">
    <w:abstractNumId w:val="10"/>
  </w:num>
  <w:num w:numId="8">
    <w:abstractNumId w:val="11"/>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12"/>
  </w:num>
  <w:num w:numId="14">
    <w:abstractNumId w:val="16"/>
  </w:num>
  <w:num w:numId="15">
    <w:abstractNumId w:val="15"/>
  </w:num>
  <w:num w:numId="16">
    <w:abstractNumId w:val="9"/>
  </w:num>
  <w:num w:numId="17">
    <w:abstractNumId w:val="2"/>
  </w:num>
  <w:num w:numId="18">
    <w:abstractNumId w:val="5"/>
  </w:num>
  <w:num w:numId="19">
    <w:abstractNumId w:val="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15768"/>
    <w:rsid w:val="00001678"/>
    <w:rsid w:val="00003AB4"/>
    <w:rsid w:val="00014DB2"/>
    <w:rsid w:val="000201D8"/>
    <w:rsid w:val="000520BE"/>
    <w:rsid w:val="0005220C"/>
    <w:rsid w:val="00053C2D"/>
    <w:rsid w:val="000555D1"/>
    <w:rsid w:val="00055EA3"/>
    <w:rsid w:val="000576F2"/>
    <w:rsid w:val="00061650"/>
    <w:rsid w:val="000677AB"/>
    <w:rsid w:val="000738C6"/>
    <w:rsid w:val="00076195"/>
    <w:rsid w:val="00077F30"/>
    <w:rsid w:val="00085306"/>
    <w:rsid w:val="0009594E"/>
    <w:rsid w:val="000C12DE"/>
    <w:rsid w:val="000C31D8"/>
    <w:rsid w:val="000C4402"/>
    <w:rsid w:val="000C4E2C"/>
    <w:rsid w:val="000C594A"/>
    <w:rsid w:val="000D4152"/>
    <w:rsid w:val="000D4FAC"/>
    <w:rsid w:val="000E1A9D"/>
    <w:rsid w:val="000E2DCB"/>
    <w:rsid w:val="000E4C69"/>
    <w:rsid w:val="000E7D43"/>
    <w:rsid w:val="000F28EA"/>
    <w:rsid w:val="0010710B"/>
    <w:rsid w:val="00114EB7"/>
    <w:rsid w:val="00115768"/>
    <w:rsid w:val="00117B34"/>
    <w:rsid w:val="001212FB"/>
    <w:rsid w:val="001262B6"/>
    <w:rsid w:val="00137214"/>
    <w:rsid w:val="00145F80"/>
    <w:rsid w:val="00150176"/>
    <w:rsid w:val="00150DD5"/>
    <w:rsid w:val="001539DF"/>
    <w:rsid w:val="00156C94"/>
    <w:rsid w:val="0016479F"/>
    <w:rsid w:val="00172AE0"/>
    <w:rsid w:val="00176B2B"/>
    <w:rsid w:val="00180772"/>
    <w:rsid w:val="001825AB"/>
    <w:rsid w:val="00185AD9"/>
    <w:rsid w:val="001875D6"/>
    <w:rsid w:val="00191119"/>
    <w:rsid w:val="00193241"/>
    <w:rsid w:val="00193BCA"/>
    <w:rsid w:val="00194790"/>
    <w:rsid w:val="001A2C0C"/>
    <w:rsid w:val="001A3B82"/>
    <w:rsid w:val="001B5342"/>
    <w:rsid w:val="001C1F70"/>
    <w:rsid w:val="001D05B1"/>
    <w:rsid w:val="001D3F40"/>
    <w:rsid w:val="001E0AC0"/>
    <w:rsid w:val="001E3480"/>
    <w:rsid w:val="001F5D85"/>
    <w:rsid w:val="00205B8A"/>
    <w:rsid w:val="00205C7E"/>
    <w:rsid w:val="002137E7"/>
    <w:rsid w:val="00225A79"/>
    <w:rsid w:val="00230ACE"/>
    <w:rsid w:val="00233CDB"/>
    <w:rsid w:val="002340F9"/>
    <w:rsid w:val="00241B5F"/>
    <w:rsid w:val="00242728"/>
    <w:rsid w:val="00253E49"/>
    <w:rsid w:val="00254F67"/>
    <w:rsid w:val="00257D00"/>
    <w:rsid w:val="00261169"/>
    <w:rsid w:val="00261AA2"/>
    <w:rsid w:val="0026403D"/>
    <w:rsid w:val="00264176"/>
    <w:rsid w:val="00266194"/>
    <w:rsid w:val="002949DE"/>
    <w:rsid w:val="00295BA5"/>
    <w:rsid w:val="002A0384"/>
    <w:rsid w:val="002A67D5"/>
    <w:rsid w:val="002C045F"/>
    <w:rsid w:val="002C12DE"/>
    <w:rsid w:val="002C2112"/>
    <w:rsid w:val="002C2700"/>
    <w:rsid w:val="002C3289"/>
    <w:rsid w:val="002C3BCD"/>
    <w:rsid w:val="002C5D6B"/>
    <w:rsid w:val="002D0852"/>
    <w:rsid w:val="002D4744"/>
    <w:rsid w:val="002D624A"/>
    <w:rsid w:val="002D73F7"/>
    <w:rsid w:val="002E5884"/>
    <w:rsid w:val="002E643E"/>
    <w:rsid w:val="00311C75"/>
    <w:rsid w:val="00314384"/>
    <w:rsid w:val="00314E5A"/>
    <w:rsid w:val="00320A28"/>
    <w:rsid w:val="00351379"/>
    <w:rsid w:val="00353C9D"/>
    <w:rsid w:val="00357DAE"/>
    <w:rsid w:val="0036750F"/>
    <w:rsid w:val="00386E9F"/>
    <w:rsid w:val="003949BE"/>
    <w:rsid w:val="003A1BF4"/>
    <w:rsid w:val="003A5917"/>
    <w:rsid w:val="003A5FD9"/>
    <w:rsid w:val="003B27D7"/>
    <w:rsid w:val="003C236A"/>
    <w:rsid w:val="003C370E"/>
    <w:rsid w:val="003C384A"/>
    <w:rsid w:val="003C5001"/>
    <w:rsid w:val="003C56E7"/>
    <w:rsid w:val="003D2F04"/>
    <w:rsid w:val="003D4308"/>
    <w:rsid w:val="003F068F"/>
    <w:rsid w:val="003F4AEF"/>
    <w:rsid w:val="003F7513"/>
    <w:rsid w:val="00401AEE"/>
    <w:rsid w:val="004027F8"/>
    <w:rsid w:val="004033B4"/>
    <w:rsid w:val="00407FCA"/>
    <w:rsid w:val="004107E4"/>
    <w:rsid w:val="004119BB"/>
    <w:rsid w:val="00413A1E"/>
    <w:rsid w:val="004148F1"/>
    <w:rsid w:val="004241C7"/>
    <w:rsid w:val="00427FA2"/>
    <w:rsid w:val="004336E4"/>
    <w:rsid w:val="00434793"/>
    <w:rsid w:val="00437413"/>
    <w:rsid w:val="00440079"/>
    <w:rsid w:val="00440E80"/>
    <w:rsid w:val="0045324E"/>
    <w:rsid w:val="00457CA4"/>
    <w:rsid w:val="004708F8"/>
    <w:rsid w:val="00471A84"/>
    <w:rsid w:val="0047309B"/>
    <w:rsid w:val="00495E88"/>
    <w:rsid w:val="00496CF7"/>
    <w:rsid w:val="004A0894"/>
    <w:rsid w:val="004A1572"/>
    <w:rsid w:val="004A5CE2"/>
    <w:rsid w:val="004B33F7"/>
    <w:rsid w:val="004B53D3"/>
    <w:rsid w:val="004B5DB9"/>
    <w:rsid w:val="004C1991"/>
    <w:rsid w:val="004D2930"/>
    <w:rsid w:val="004D5863"/>
    <w:rsid w:val="004D5D66"/>
    <w:rsid w:val="004E09F0"/>
    <w:rsid w:val="004E1FA3"/>
    <w:rsid w:val="004E5AE9"/>
    <w:rsid w:val="004F6B70"/>
    <w:rsid w:val="00507F3D"/>
    <w:rsid w:val="005142A5"/>
    <w:rsid w:val="0051453E"/>
    <w:rsid w:val="0051799F"/>
    <w:rsid w:val="00520967"/>
    <w:rsid w:val="00530428"/>
    <w:rsid w:val="00533FF9"/>
    <w:rsid w:val="005348DC"/>
    <w:rsid w:val="00540F74"/>
    <w:rsid w:val="005455B8"/>
    <w:rsid w:val="005473B0"/>
    <w:rsid w:val="0055260A"/>
    <w:rsid w:val="00560F2E"/>
    <w:rsid w:val="00595F7E"/>
    <w:rsid w:val="005A2D57"/>
    <w:rsid w:val="005A5D6A"/>
    <w:rsid w:val="005A7DAF"/>
    <w:rsid w:val="005B2944"/>
    <w:rsid w:val="005B384D"/>
    <w:rsid w:val="005D19E2"/>
    <w:rsid w:val="005D25CA"/>
    <w:rsid w:val="005D7225"/>
    <w:rsid w:val="005E227F"/>
    <w:rsid w:val="005E7BB0"/>
    <w:rsid w:val="005F3C15"/>
    <w:rsid w:val="005F3C77"/>
    <w:rsid w:val="005F6F76"/>
    <w:rsid w:val="006011A1"/>
    <w:rsid w:val="00606836"/>
    <w:rsid w:val="00611F6F"/>
    <w:rsid w:val="0061332B"/>
    <w:rsid w:val="00632D3B"/>
    <w:rsid w:val="00632E1A"/>
    <w:rsid w:val="0063515A"/>
    <w:rsid w:val="00637D2A"/>
    <w:rsid w:val="00641E2D"/>
    <w:rsid w:val="00653E83"/>
    <w:rsid w:val="006658E7"/>
    <w:rsid w:val="00671EB2"/>
    <w:rsid w:val="00673B67"/>
    <w:rsid w:val="00677628"/>
    <w:rsid w:val="00680AFA"/>
    <w:rsid w:val="00680C52"/>
    <w:rsid w:val="00683C0A"/>
    <w:rsid w:val="00690A13"/>
    <w:rsid w:val="00690F3D"/>
    <w:rsid w:val="006971F5"/>
    <w:rsid w:val="006A0AA5"/>
    <w:rsid w:val="006A27EF"/>
    <w:rsid w:val="006A4267"/>
    <w:rsid w:val="006A69EA"/>
    <w:rsid w:val="006B05AC"/>
    <w:rsid w:val="006B12BE"/>
    <w:rsid w:val="006B6153"/>
    <w:rsid w:val="006B6328"/>
    <w:rsid w:val="006C2129"/>
    <w:rsid w:val="006C79BF"/>
    <w:rsid w:val="006C7E8B"/>
    <w:rsid w:val="006D7A3D"/>
    <w:rsid w:val="006E2A08"/>
    <w:rsid w:val="0070016C"/>
    <w:rsid w:val="0070076F"/>
    <w:rsid w:val="0070685F"/>
    <w:rsid w:val="00712936"/>
    <w:rsid w:val="00731B38"/>
    <w:rsid w:val="007401EA"/>
    <w:rsid w:val="0074235B"/>
    <w:rsid w:val="007460DD"/>
    <w:rsid w:val="0075069C"/>
    <w:rsid w:val="007545FB"/>
    <w:rsid w:val="0075517D"/>
    <w:rsid w:val="0075769D"/>
    <w:rsid w:val="00761764"/>
    <w:rsid w:val="00761921"/>
    <w:rsid w:val="00761E2B"/>
    <w:rsid w:val="00762485"/>
    <w:rsid w:val="00772FC8"/>
    <w:rsid w:val="00793C38"/>
    <w:rsid w:val="00796438"/>
    <w:rsid w:val="0079790F"/>
    <w:rsid w:val="00797F58"/>
    <w:rsid w:val="007A1DE2"/>
    <w:rsid w:val="007B3D30"/>
    <w:rsid w:val="007B77FD"/>
    <w:rsid w:val="007D5C17"/>
    <w:rsid w:val="007F5569"/>
    <w:rsid w:val="007F66C4"/>
    <w:rsid w:val="0080221D"/>
    <w:rsid w:val="00814099"/>
    <w:rsid w:val="00817DF2"/>
    <w:rsid w:val="00817F6B"/>
    <w:rsid w:val="00820981"/>
    <w:rsid w:val="00823E95"/>
    <w:rsid w:val="008254C3"/>
    <w:rsid w:val="00844F02"/>
    <w:rsid w:val="00846F96"/>
    <w:rsid w:val="0087032A"/>
    <w:rsid w:val="00871B2C"/>
    <w:rsid w:val="008823FF"/>
    <w:rsid w:val="00891E34"/>
    <w:rsid w:val="00896B37"/>
    <w:rsid w:val="008A4C3F"/>
    <w:rsid w:val="008B2CE7"/>
    <w:rsid w:val="008C1FA4"/>
    <w:rsid w:val="008E4ABB"/>
    <w:rsid w:val="00900016"/>
    <w:rsid w:val="0090443F"/>
    <w:rsid w:val="009065CA"/>
    <w:rsid w:val="009107DF"/>
    <w:rsid w:val="00931287"/>
    <w:rsid w:val="00943A91"/>
    <w:rsid w:val="009539BC"/>
    <w:rsid w:val="009613CC"/>
    <w:rsid w:val="00963E81"/>
    <w:rsid w:val="009756AA"/>
    <w:rsid w:val="009820D6"/>
    <w:rsid w:val="009845A4"/>
    <w:rsid w:val="009855DD"/>
    <w:rsid w:val="009863F8"/>
    <w:rsid w:val="00987ACD"/>
    <w:rsid w:val="00990B36"/>
    <w:rsid w:val="009947FE"/>
    <w:rsid w:val="00997560"/>
    <w:rsid w:val="009A130C"/>
    <w:rsid w:val="009A24F8"/>
    <w:rsid w:val="009A57D7"/>
    <w:rsid w:val="009B1309"/>
    <w:rsid w:val="009B4FD7"/>
    <w:rsid w:val="009C3191"/>
    <w:rsid w:val="009E17FB"/>
    <w:rsid w:val="009E36D5"/>
    <w:rsid w:val="009F0930"/>
    <w:rsid w:val="00A000E9"/>
    <w:rsid w:val="00A0180E"/>
    <w:rsid w:val="00A01B49"/>
    <w:rsid w:val="00A07745"/>
    <w:rsid w:val="00A22BA9"/>
    <w:rsid w:val="00A24D4D"/>
    <w:rsid w:val="00A25809"/>
    <w:rsid w:val="00A266FC"/>
    <w:rsid w:val="00A307EF"/>
    <w:rsid w:val="00A324EE"/>
    <w:rsid w:val="00A32F93"/>
    <w:rsid w:val="00A346DE"/>
    <w:rsid w:val="00A370FA"/>
    <w:rsid w:val="00A51630"/>
    <w:rsid w:val="00A51EF0"/>
    <w:rsid w:val="00A545A2"/>
    <w:rsid w:val="00A57EE5"/>
    <w:rsid w:val="00A630F5"/>
    <w:rsid w:val="00A63177"/>
    <w:rsid w:val="00A7027D"/>
    <w:rsid w:val="00A71509"/>
    <w:rsid w:val="00A75989"/>
    <w:rsid w:val="00A84F93"/>
    <w:rsid w:val="00A86E48"/>
    <w:rsid w:val="00A8768C"/>
    <w:rsid w:val="00A9053F"/>
    <w:rsid w:val="00A90858"/>
    <w:rsid w:val="00A96039"/>
    <w:rsid w:val="00A96927"/>
    <w:rsid w:val="00AA37F8"/>
    <w:rsid w:val="00AA7D31"/>
    <w:rsid w:val="00AB352E"/>
    <w:rsid w:val="00AB36AB"/>
    <w:rsid w:val="00AD4053"/>
    <w:rsid w:val="00AD4333"/>
    <w:rsid w:val="00AD651C"/>
    <w:rsid w:val="00AE7160"/>
    <w:rsid w:val="00AE7CB7"/>
    <w:rsid w:val="00AF2E80"/>
    <w:rsid w:val="00B06043"/>
    <w:rsid w:val="00B139FA"/>
    <w:rsid w:val="00B369E8"/>
    <w:rsid w:val="00B448B9"/>
    <w:rsid w:val="00B45553"/>
    <w:rsid w:val="00B53487"/>
    <w:rsid w:val="00B54302"/>
    <w:rsid w:val="00B57276"/>
    <w:rsid w:val="00B5766E"/>
    <w:rsid w:val="00B636EE"/>
    <w:rsid w:val="00B63A5B"/>
    <w:rsid w:val="00B703CE"/>
    <w:rsid w:val="00B8712A"/>
    <w:rsid w:val="00B873A3"/>
    <w:rsid w:val="00B93909"/>
    <w:rsid w:val="00BB72EA"/>
    <w:rsid w:val="00BC56BC"/>
    <w:rsid w:val="00BD2C70"/>
    <w:rsid w:val="00BD3790"/>
    <w:rsid w:val="00BE6EBF"/>
    <w:rsid w:val="00BF2CEC"/>
    <w:rsid w:val="00BF36E1"/>
    <w:rsid w:val="00C01AFB"/>
    <w:rsid w:val="00C02C5B"/>
    <w:rsid w:val="00C03961"/>
    <w:rsid w:val="00C0775E"/>
    <w:rsid w:val="00C142F2"/>
    <w:rsid w:val="00C16EB4"/>
    <w:rsid w:val="00C22332"/>
    <w:rsid w:val="00C30039"/>
    <w:rsid w:val="00C305C7"/>
    <w:rsid w:val="00C31C3B"/>
    <w:rsid w:val="00C32C94"/>
    <w:rsid w:val="00C34DB5"/>
    <w:rsid w:val="00C353FC"/>
    <w:rsid w:val="00C36CC2"/>
    <w:rsid w:val="00C46642"/>
    <w:rsid w:val="00C528B5"/>
    <w:rsid w:val="00C54474"/>
    <w:rsid w:val="00C61826"/>
    <w:rsid w:val="00C62A80"/>
    <w:rsid w:val="00C64D99"/>
    <w:rsid w:val="00C658EB"/>
    <w:rsid w:val="00C736BF"/>
    <w:rsid w:val="00C74A4E"/>
    <w:rsid w:val="00C756E3"/>
    <w:rsid w:val="00C75F81"/>
    <w:rsid w:val="00C86B62"/>
    <w:rsid w:val="00C95551"/>
    <w:rsid w:val="00C96756"/>
    <w:rsid w:val="00C9733D"/>
    <w:rsid w:val="00CA1DC2"/>
    <w:rsid w:val="00CA35FB"/>
    <w:rsid w:val="00CA49B4"/>
    <w:rsid w:val="00CB0093"/>
    <w:rsid w:val="00CB4DEB"/>
    <w:rsid w:val="00CB60DB"/>
    <w:rsid w:val="00CC0D4B"/>
    <w:rsid w:val="00CC2DEF"/>
    <w:rsid w:val="00CD117F"/>
    <w:rsid w:val="00CD1228"/>
    <w:rsid w:val="00CD2156"/>
    <w:rsid w:val="00CD40F8"/>
    <w:rsid w:val="00CE2288"/>
    <w:rsid w:val="00CE7260"/>
    <w:rsid w:val="00D038AB"/>
    <w:rsid w:val="00D04741"/>
    <w:rsid w:val="00D1736D"/>
    <w:rsid w:val="00D231E1"/>
    <w:rsid w:val="00D23A86"/>
    <w:rsid w:val="00D25037"/>
    <w:rsid w:val="00D363FA"/>
    <w:rsid w:val="00D412EC"/>
    <w:rsid w:val="00D43834"/>
    <w:rsid w:val="00D530ED"/>
    <w:rsid w:val="00D56B3A"/>
    <w:rsid w:val="00D601BE"/>
    <w:rsid w:val="00D66D38"/>
    <w:rsid w:val="00D74BAC"/>
    <w:rsid w:val="00D75579"/>
    <w:rsid w:val="00D75853"/>
    <w:rsid w:val="00D91DE7"/>
    <w:rsid w:val="00D95826"/>
    <w:rsid w:val="00D972B2"/>
    <w:rsid w:val="00DA3A1E"/>
    <w:rsid w:val="00DA7EA9"/>
    <w:rsid w:val="00DB4DFE"/>
    <w:rsid w:val="00DC0100"/>
    <w:rsid w:val="00DD0D3A"/>
    <w:rsid w:val="00DD4440"/>
    <w:rsid w:val="00DD511C"/>
    <w:rsid w:val="00DD53DC"/>
    <w:rsid w:val="00DD787E"/>
    <w:rsid w:val="00DE1794"/>
    <w:rsid w:val="00DE1C74"/>
    <w:rsid w:val="00DF1EF1"/>
    <w:rsid w:val="00DF3507"/>
    <w:rsid w:val="00DF6DD9"/>
    <w:rsid w:val="00E01D38"/>
    <w:rsid w:val="00E03E5E"/>
    <w:rsid w:val="00E0616C"/>
    <w:rsid w:val="00E14FD9"/>
    <w:rsid w:val="00E21F42"/>
    <w:rsid w:val="00E227DF"/>
    <w:rsid w:val="00E36430"/>
    <w:rsid w:val="00E5725D"/>
    <w:rsid w:val="00E639DF"/>
    <w:rsid w:val="00E64D59"/>
    <w:rsid w:val="00E64EAB"/>
    <w:rsid w:val="00E64F97"/>
    <w:rsid w:val="00E72799"/>
    <w:rsid w:val="00E93209"/>
    <w:rsid w:val="00E959B2"/>
    <w:rsid w:val="00EA2023"/>
    <w:rsid w:val="00EA32E6"/>
    <w:rsid w:val="00EA5DF0"/>
    <w:rsid w:val="00EB2612"/>
    <w:rsid w:val="00EB47FD"/>
    <w:rsid w:val="00EC4CDE"/>
    <w:rsid w:val="00EE35BE"/>
    <w:rsid w:val="00EE6B31"/>
    <w:rsid w:val="00EE749E"/>
    <w:rsid w:val="00EF012F"/>
    <w:rsid w:val="00EF182A"/>
    <w:rsid w:val="00EF23BF"/>
    <w:rsid w:val="00EF2EB7"/>
    <w:rsid w:val="00EF5E11"/>
    <w:rsid w:val="00F028AB"/>
    <w:rsid w:val="00F033E8"/>
    <w:rsid w:val="00F07DBC"/>
    <w:rsid w:val="00F12459"/>
    <w:rsid w:val="00F20260"/>
    <w:rsid w:val="00F240F1"/>
    <w:rsid w:val="00F30D54"/>
    <w:rsid w:val="00F40196"/>
    <w:rsid w:val="00F420ED"/>
    <w:rsid w:val="00F55183"/>
    <w:rsid w:val="00F65103"/>
    <w:rsid w:val="00F65C87"/>
    <w:rsid w:val="00F674E8"/>
    <w:rsid w:val="00F93EC2"/>
    <w:rsid w:val="00F9534E"/>
    <w:rsid w:val="00F96ED9"/>
    <w:rsid w:val="00F970AA"/>
    <w:rsid w:val="00FA46C7"/>
    <w:rsid w:val="00FB27AD"/>
    <w:rsid w:val="00FB4254"/>
    <w:rsid w:val="00FB4A3E"/>
    <w:rsid w:val="00FC4049"/>
    <w:rsid w:val="00FD38B1"/>
    <w:rsid w:val="00FD57FD"/>
    <w:rsid w:val="00FE0CC7"/>
    <w:rsid w:val="00FE60F3"/>
    <w:rsid w:val="00FE7810"/>
    <w:rsid w:val="00FF08D5"/>
    <w:rsid w:val="00FF2D3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7EF8077"/>
  <w15:docId w15:val="{D99FCB0D-D30C-4928-84A9-C61A0CF4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1">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2CE7"/>
    <w:pPr>
      <w:spacing w:after="120" w:line="360" w:lineRule="auto"/>
      <w:jc w:val="both"/>
    </w:pPr>
    <w:rPr>
      <w:rFonts w:ascii="Arial" w:hAnsi="Arial"/>
      <w:sz w:val="24"/>
      <w:lang w:eastAsia="de-DE"/>
    </w:rPr>
  </w:style>
  <w:style w:type="paragraph" w:styleId="berschrift1">
    <w:name w:val="heading 1"/>
    <w:basedOn w:val="Standard"/>
    <w:next w:val="Standard"/>
    <w:pPr>
      <w:keepNext/>
      <w:spacing w:before="240" w:after="60"/>
      <w:outlineLvl w:val="0"/>
    </w:pPr>
    <w:rPr>
      <w:b/>
      <w:kern w:val="28"/>
      <w:sz w:val="26"/>
    </w:rPr>
  </w:style>
  <w:style w:type="paragraph" w:styleId="berschrift2">
    <w:name w:val="heading 2"/>
    <w:basedOn w:val="Standard"/>
    <w:next w:val="Standard"/>
    <w:pPr>
      <w:keepNext/>
      <w:spacing w:before="240" w:after="60"/>
      <w:outlineLvl w:val="1"/>
    </w:pPr>
    <w:rPr>
      <w:b/>
    </w:rPr>
  </w:style>
  <w:style w:type="paragraph" w:styleId="berschrift3">
    <w:name w:val="heading 3"/>
    <w:basedOn w:val="Standard"/>
    <w:next w:val="Standard"/>
    <w:pPr>
      <w:keepNext/>
      <w:spacing w:before="240" w:after="6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napToGrid w:val="0"/>
      <w:sz w:val="22"/>
    </w:rPr>
  </w:style>
  <w:style w:type="paragraph" w:styleId="Fuzeile">
    <w:name w:val="footer"/>
    <w:basedOn w:val="Standard"/>
    <w:pPr>
      <w:tabs>
        <w:tab w:val="center" w:pos="4536"/>
        <w:tab w:val="right" w:pos="9072"/>
      </w:tabs>
    </w:pPr>
    <w:rPr>
      <w:sz w:val="22"/>
    </w:rPr>
  </w:style>
  <w:style w:type="paragraph" w:customStyle="1" w:styleId="Verfgung">
    <w:name w:val="Verfügung"/>
    <w:basedOn w:val="Standard"/>
    <w:next w:val="Standard"/>
    <w:pPr>
      <w:numPr>
        <w:numId w:val="2"/>
      </w:numPr>
      <w:tabs>
        <w:tab w:val="clear" w:pos="720"/>
        <w:tab w:val="num" w:pos="426"/>
      </w:tabs>
      <w:ind w:left="426" w:hanging="426"/>
    </w:pPr>
  </w:style>
  <w:style w:type="character" w:styleId="Seitenzahl">
    <w:name w:val="page number"/>
    <w:basedOn w:val="Absatz-Standardschriftart"/>
    <w:rsid w:val="007545FB"/>
    <w:rPr>
      <w:rFonts w:ascii="Arial" w:hAnsi="Arial"/>
      <w:sz w:val="20"/>
    </w:rPr>
  </w:style>
  <w:style w:type="paragraph" w:styleId="Sprechblasentext">
    <w:name w:val="Balloon Text"/>
    <w:basedOn w:val="Standard"/>
    <w:semiHidden/>
    <w:rsid w:val="006B12BE"/>
    <w:rPr>
      <w:rFonts w:ascii="Tahoma" w:hAnsi="Tahoma" w:cs="Tahoma"/>
      <w:sz w:val="16"/>
      <w:szCs w:val="16"/>
    </w:rPr>
  </w:style>
  <w:style w:type="paragraph" w:styleId="Textkrper2">
    <w:name w:val="Body Text 2"/>
    <w:basedOn w:val="Standard"/>
    <w:rsid w:val="00E01D38"/>
    <w:rPr>
      <w:rFonts w:cs="Arial"/>
      <w:bCs/>
      <w:i/>
      <w:iCs/>
      <w:szCs w:val="24"/>
    </w:rPr>
  </w:style>
  <w:style w:type="character" w:styleId="Kommentarzeichen">
    <w:name w:val="annotation reference"/>
    <w:semiHidden/>
    <w:rsid w:val="00496CF7"/>
    <w:rPr>
      <w:sz w:val="16"/>
      <w:szCs w:val="16"/>
    </w:rPr>
  </w:style>
  <w:style w:type="paragraph" w:styleId="Kommentartext">
    <w:name w:val="annotation text"/>
    <w:basedOn w:val="Standard"/>
    <w:semiHidden/>
    <w:rsid w:val="00496CF7"/>
    <w:rPr>
      <w:sz w:val="20"/>
    </w:rPr>
  </w:style>
  <w:style w:type="paragraph" w:styleId="Kommentarthema">
    <w:name w:val="annotation subject"/>
    <w:basedOn w:val="Kommentartext"/>
    <w:next w:val="Kommentartext"/>
    <w:semiHidden/>
    <w:rsid w:val="00AD4053"/>
    <w:rPr>
      <w:b/>
      <w:bCs/>
    </w:rPr>
  </w:style>
  <w:style w:type="paragraph" w:customStyle="1" w:styleId="TOPTitel">
    <w:name w:val="TOP+Titel"/>
    <w:basedOn w:val="Standard"/>
    <w:autoRedefine/>
    <w:qFormat/>
    <w:rsid w:val="002C3289"/>
    <w:pPr>
      <w:spacing w:after="240" w:line="240" w:lineRule="auto"/>
      <w:ind w:left="5103"/>
    </w:pPr>
    <w:rPr>
      <w:b/>
      <w:szCs w:val="24"/>
    </w:rPr>
  </w:style>
  <w:style w:type="paragraph" w:customStyle="1" w:styleId="Beschlussvorlagenkopf">
    <w:name w:val="Beschlussvorlagenkopf"/>
    <w:basedOn w:val="Standard"/>
    <w:autoRedefine/>
    <w:qFormat/>
    <w:rsid w:val="008A4C3F"/>
    <w:pPr>
      <w:pBdr>
        <w:top w:val="single" w:sz="4" w:space="1" w:color="auto"/>
        <w:left w:val="single" w:sz="4" w:space="4" w:color="auto"/>
        <w:bottom w:val="single" w:sz="4" w:space="1" w:color="auto"/>
        <w:right w:val="single" w:sz="4" w:space="4" w:color="auto"/>
      </w:pBdr>
      <w:shd w:val="pct20" w:color="auto" w:fill="auto"/>
      <w:jc w:val="center"/>
    </w:pPr>
    <w:rPr>
      <w:b/>
      <w:bCs/>
      <w:spacing w:val="20"/>
    </w:rPr>
  </w:style>
  <w:style w:type="paragraph" w:customStyle="1" w:styleId="BeschlussBegrndung">
    <w:name w:val="Beschluss+Begründung"/>
    <w:basedOn w:val="Standard"/>
    <w:autoRedefine/>
    <w:qFormat/>
    <w:rsid w:val="003A5917"/>
    <w:pPr>
      <w:spacing w:before="360"/>
    </w:pPr>
    <w:rPr>
      <w:b/>
      <w:bCs/>
      <w:u w:val="single"/>
    </w:rPr>
  </w:style>
  <w:style w:type="paragraph" w:customStyle="1" w:styleId="Antragsteller">
    <w:name w:val="Antragsteller"/>
    <w:basedOn w:val="TOPTitel"/>
    <w:autoRedefine/>
    <w:rsid w:val="002C3289"/>
    <w:rPr>
      <w:b w:val="0"/>
    </w:rPr>
  </w:style>
  <w:style w:type="paragraph" w:styleId="KeinLeerraum">
    <w:name w:val="No Spacing"/>
    <w:uiPriority w:val="1"/>
    <w:rsid w:val="00D530ED"/>
    <w:pPr>
      <w:jc w:val="both"/>
    </w:pPr>
    <w:rPr>
      <w:rFonts w:ascii="Arial" w:hAnsi="Arial"/>
      <w:sz w:val="24"/>
      <w:lang w:eastAsia="de-DE"/>
    </w:rPr>
  </w:style>
  <w:style w:type="paragraph" w:styleId="Listenabsatz">
    <w:name w:val="List Paragraph"/>
    <w:basedOn w:val="Standard"/>
    <w:link w:val="ListenabsatzZchn"/>
    <w:autoRedefine/>
    <w:uiPriority w:val="34"/>
    <w:qFormat/>
    <w:rsid w:val="007F5569"/>
    <w:pPr>
      <w:numPr>
        <w:numId w:val="22"/>
      </w:numPr>
      <w:spacing w:after="0"/>
      <w:contextualSpacing/>
    </w:pPr>
    <w:rPr>
      <w:b/>
      <w:u w:val="single"/>
    </w:rPr>
  </w:style>
  <w:style w:type="numbering" w:customStyle="1" w:styleId="Formatvorlage1">
    <w:name w:val="Formatvorlage1"/>
    <w:uiPriority w:val="99"/>
    <w:rsid w:val="008B2CE7"/>
    <w:pPr>
      <w:numPr>
        <w:numId w:val="13"/>
      </w:numPr>
    </w:pPr>
  </w:style>
  <w:style w:type="character" w:customStyle="1" w:styleId="ListenabsatzZchn">
    <w:name w:val="Listenabsatz Zchn"/>
    <w:basedOn w:val="Absatz-Standardschriftart"/>
    <w:link w:val="Listenabsatz"/>
    <w:uiPriority w:val="34"/>
    <w:locked/>
    <w:rsid w:val="007F5569"/>
    <w:rPr>
      <w:rFonts w:ascii="Arial" w:hAnsi="Arial"/>
      <w:b/>
      <w:sz w:val="24"/>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609">
      <w:bodyDiv w:val="1"/>
      <w:marLeft w:val="0"/>
      <w:marRight w:val="0"/>
      <w:marTop w:val="0"/>
      <w:marBottom w:val="0"/>
      <w:divBdr>
        <w:top w:val="none" w:sz="0" w:space="0" w:color="auto"/>
        <w:left w:val="none" w:sz="0" w:space="0" w:color="auto"/>
        <w:bottom w:val="none" w:sz="0" w:space="0" w:color="auto"/>
        <w:right w:val="none" w:sz="0" w:space="0" w:color="auto"/>
      </w:divBdr>
    </w:div>
    <w:div w:id="996879907">
      <w:bodyDiv w:val="1"/>
      <w:marLeft w:val="0"/>
      <w:marRight w:val="0"/>
      <w:marTop w:val="0"/>
      <w:marBottom w:val="0"/>
      <w:divBdr>
        <w:top w:val="none" w:sz="0" w:space="0" w:color="auto"/>
        <w:left w:val="none" w:sz="0" w:space="0" w:color="auto"/>
        <w:bottom w:val="none" w:sz="0" w:space="0" w:color="auto"/>
        <w:right w:val="none" w:sz="0" w:space="0" w:color="auto"/>
      </w:divBdr>
    </w:div>
    <w:div w:id="201209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03A4D-DFEB-4A12-9033-BB7CF615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1022</Words>
  <Characters>7393</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Sonderkonferenz der</vt:lpstr>
    </vt:vector>
  </TitlesOfParts>
  <Company>StMAS</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Sonderkonferenz der</dc:title>
  <dc:creator>Mönch, Fabian</dc:creator>
  <cp:lastModifiedBy>Abel Dr., Alexander</cp:lastModifiedBy>
  <cp:revision>83</cp:revision>
  <cp:lastPrinted>2020-11-15T15:25:00Z</cp:lastPrinted>
  <dcterms:created xsi:type="dcterms:W3CDTF">2020-11-15T10:29:00Z</dcterms:created>
  <dcterms:modified xsi:type="dcterms:W3CDTF">2020-11-15T17:21:00Z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-45823161</vt:i4>
  </property>
  <property fmtid="{D5CDD505-2E9C-101B-9397-08002B2CF9AE}" pid="3" name="_ReviewCycleID">
    <vt:i4>-45823161</vt:i4>
  </property>
  <property fmtid="{D5CDD505-2E9C-101B-9397-08002B2CF9AE}" pid="4" name="_NewReviewCycle">
    <vt:lpwstr/>
  </property>
  <property fmtid="{D5CDD505-2E9C-101B-9397-08002B2CF9AE}" pid="5" name="_EmailEntryID">
    <vt:lpwstr>00000000C3848BC9465A7C48BBD9E3925C1F9671070012702F1B8686964FBB3E32FB6E95E06900000279E0BB0000288A2E90F5799B40AAD9F3A59122A76D005D0D3944EC0000</vt:lpwstr>
  </property>
  <property fmtid="{D5CDD505-2E9C-101B-9397-08002B2CF9AE}" pid="6" name="_EmailStoreID">
    <vt:lpwstr>0000000038A1BB1005E5101AA1BB08002B2A56C20000454D534D44422E444C4C00000000000000001B55FA20AA6611CD9BC800AA002FC45A0C000000535256534850434C3035455832002F6F3D48455353454E2F6F753D4954532F636E3D526563697069656E74732F636E3D43687269737469616E2E506574657200</vt:lpwstr>
  </property>
  <property fmtid="{D5CDD505-2E9C-101B-9397-08002B2CF9AE}" pid="7" name="_EmailStoreID0">
    <vt:lpwstr>0000000038A1BB1005E5101AA1BB08002B2A56C20000454D534D44422E444C4C00000000000000001B55FA20AA6611CD9BC800AA002FC45A0C000000534D532D5352562D4D41494C32002F6F3D5361636873656E2F6F753D534D532D41472F636E3D526563697069656E74732F636E3D436F7264756C612E536368756265727</vt:lpwstr>
  </property>
  <property fmtid="{D5CDD505-2E9C-101B-9397-08002B2CF9AE}" pid="8" name="_EmailStoreID1">
    <vt:lpwstr>400</vt:lpwstr>
  </property>
</Properties>
</file>